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38E2" w:rsidRPr="00525CB6" w:rsidRDefault="003B38E2" w:rsidP="00770B78">
      <w:pPr>
        <w:keepNext/>
        <w:pBdr>
          <w:bottom w:val="single" w:sz="12" w:space="6" w:color="auto"/>
        </w:pBdr>
        <w:spacing w:after="120" w:line="360" w:lineRule="auto"/>
        <w:jc w:val="center"/>
        <w:outlineLvl w:val="0"/>
        <w:rPr>
          <w:rFonts w:ascii="Arial" w:hAnsi="Arial" w:cs="Arial"/>
          <w:b/>
          <w:bCs/>
          <w:kern w:val="32"/>
          <w:sz w:val="32"/>
          <w:szCs w:val="32"/>
        </w:rPr>
      </w:pPr>
      <w:r w:rsidRPr="00525CB6">
        <w:rPr>
          <w:rFonts w:ascii="Arial" w:hAnsi="Arial" w:cs="Arial"/>
          <w:b/>
          <w:bCs/>
          <w:kern w:val="32"/>
          <w:sz w:val="32"/>
          <w:szCs w:val="32"/>
        </w:rPr>
        <w:t>Reasons for Decision</w:t>
      </w:r>
    </w:p>
    <w:p w:rsidR="00DB64C1" w:rsidRPr="00525CB6" w:rsidRDefault="0025678A" w:rsidP="0025678A">
      <w:pPr>
        <w:overflowPunct w:val="0"/>
        <w:autoSpaceDE w:val="0"/>
        <w:autoSpaceDN w:val="0"/>
        <w:adjustRightInd w:val="0"/>
        <w:spacing w:after="200"/>
        <w:ind w:left="3686" w:hanging="3686"/>
        <w:outlineLvl w:val="0"/>
        <w:rPr>
          <w:rFonts w:ascii="Arial" w:hAnsi="Arial" w:cs="Arial"/>
        </w:rPr>
      </w:pPr>
      <w:r w:rsidRPr="00525CB6">
        <w:rPr>
          <w:rFonts w:ascii="Arial" w:hAnsi="Arial" w:cs="Arial"/>
          <w:b/>
        </w:rPr>
        <w:t>Building Practitioner</w:t>
      </w:r>
      <w:r w:rsidR="00DB64C1" w:rsidRPr="00525CB6">
        <w:rPr>
          <w:rFonts w:ascii="Arial" w:hAnsi="Arial" w:cs="Arial"/>
          <w:b/>
        </w:rPr>
        <w:t>:</w:t>
      </w:r>
      <w:r w:rsidR="00DB64C1" w:rsidRPr="00525CB6">
        <w:rPr>
          <w:rFonts w:ascii="Arial" w:hAnsi="Arial" w:cs="Arial"/>
          <w:b/>
        </w:rPr>
        <w:tab/>
      </w:r>
      <w:r w:rsidR="00525CB6" w:rsidRPr="00525CB6">
        <w:rPr>
          <w:rFonts w:ascii="Arial" w:hAnsi="Arial" w:cs="Arial"/>
        </w:rPr>
        <w:t xml:space="preserve">Mr </w:t>
      </w:r>
      <w:r w:rsidR="00B93433" w:rsidRPr="00525CB6">
        <w:rPr>
          <w:rFonts w:ascii="Arial" w:hAnsi="Arial" w:cs="Arial"/>
        </w:rPr>
        <w:t>Constantine</w:t>
      </w:r>
      <w:r w:rsidR="00070428" w:rsidRPr="00525CB6">
        <w:rPr>
          <w:rFonts w:ascii="Arial" w:hAnsi="Arial" w:cs="Arial"/>
        </w:rPr>
        <w:t xml:space="preserve"> Giannakas</w:t>
      </w:r>
    </w:p>
    <w:p w:rsidR="003B38E2" w:rsidRPr="00525CB6" w:rsidRDefault="00A956C4" w:rsidP="0025678A">
      <w:pPr>
        <w:overflowPunct w:val="0"/>
        <w:autoSpaceDE w:val="0"/>
        <w:autoSpaceDN w:val="0"/>
        <w:adjustRightInd w:val="0"/>
        <w:spacing w:after="200"/>
        <w:ind w:left="3686" w:hanging="3686"/>
        <w:outlineLvl w:val="0"/>
        <w:rPr>
          <w:rFonts w:ascii="Arial" w:hAnsi="Arial" w:cs="Arial"/>
          <w:lang w:val="en-GB"/>
        </w:rPr>
      </w:pPr>
      <w:r w:rsidRPr="00525CB6">
        <w:rPr>
          <w:rFonts w:ascii="Arial" w:hAnsi="Arial" w:cs="Arial"/>
          <w:b/>
        </w:rPr>
        <w:t>Referred by</w:t>
      </w:r>
      <w:r w:rsidR="003B38E2" w:rsidRPr="00525CB6">
        <w:rPr>
          <w:rFonts w:ascii="Arial" w:hAnsi="Arial" w:cs="Arial"/>
          <w:b/>
          <w:lang w:val="en-GB"/>
        </w:rPr>
        <w:t>:</w:t>
      </w:r>
      <w:r w:rsidR="003B38E2" w:rsidRPr="00525CB6">
        <w:rPr>
          <w:rFonts w:ascii="Arial" w:hAnsi="Arial" w:cs="Arial"/>
          <w:b/>
          <w:lang w:val="en-GB"/>
        </w:rPr>
        <w:tab/>
      </w:r>
      <w:r w:rsidR="0025678A" w:rsidRPr="00525CB6">
        <w:rPr>
          <w:rFonts w:ascii="Arial" w:hAnsi="Arial" w:cs="Arial"/>
          <w:lang w:val="en-GB"/>
        </w:rPr>
        <w:t>Director of Building Control</w:t>
      </w:r>
    </w:p>
    <w:p w:rsidR="003B38E2" w:rsidRPr="00525CB6" w:rsidRDefault="003B38E2" w:rsidP="0025678A">
      <w:pPr>
        <w:spacing w:after="200"/>
        <w:ind w:left="3686" w:hanging="3686"/>
        <w:rPr>
          <w:rFonts w:ascii="Arial" w:hAnsi="Arial" w:cs="Arial"/>
          <w:lang w:val="en-GB"/>
        </w:rPr>
      </w:pPr>
      <w:r w:rsidRPr="00525CB6">
        <w:rPr>
          <w:rFonts w:ascii="Arial" w:hAnsi="Arial" w:cs="Arial"/>
          <w:b/>
        </w:rPr>
        <w:t>Proceedings</w:t>
      </w:r>
      <w:r w:rsidRPr="00525CB6">
        <w:rPr>
          <w:rFonts w:ascii="Arial" w:hAnsi="Arial" w:cs="Arial"/>
          <w:b/>
          <w:lang w:val="en-GB"/>
        </w:rPr>
        <w:t>:</w:t>
      </w:r>
      <w:r w:rsidRPr="00525CB6">
        <w:rPr>
          <w:rFonts w:ascii="Arial" w:hAnsi="Arial" w:cs="Arial"/>
          <w:b/>
          <w:lang w:val="en-GB"/>
        </w:rPr>
        <w:tab/>
      </w:r>
      <w:r w:rsidR="0025678A" w:rsidRPr="00525CB6">
        <w:rPr>
          <w:rFonts w:ascii="Arial" w:hAnsi="Arial" w:cs="Arial"/>
        </w:rPr>
        <w:t xml:space="preserve">Referral of Inquiry to the Building Practitioners Board (the Board) </w:t>
      </w:r>
      <w:r w:rsidR="00A956C4" w:rsidRPr="00525CB6">
        <w:rPr>
          <w:rFonts w:ascii="Arial" w:hAnsi="Arial" w:cs="Arial"/>
        </w:rPr>
        <w:t xml:space="preserve">in accordance with </w:t>
      </w:r>
      <w:r w:rsidR="0025678A" w:rsidRPr="00525CB6">
        <w:rPr>
          <w:rFonts w:ascii="Arial" w:hAnsi="Arial" w:cs="Arial"/>
        </w:rPr>
        <w:t>section</w:t>
      </w:r>
      <w:r w:rsidR="00A956C4" w:rsidRPr="00525CB6">
        <w:rPr>
          <w:rFonts w:ascii="Arial" w:hAnsi="Arial" w:cs="Arial"/>
        </w:rPr>
        <w:t xml:space="preserve"> 34G</w:t>
      </w:r>
      <w:r w:rsidR="0025678A" w:rsidRPr="00525CB6">
        <w:rPr>
          <w:rFonts w:ascii="Arial" w:hAnsi="Arial" w:cs="Arial"/>
        </w:rPr>
        <w:t xml:space="preserve"> of the </w:t>
      </w:r>
      <w:r w:rsidR="0025678A" w:rsidRPr="00525CB6">
        <w:rPr>
          <w:rFonts w:ascii="Arial" w:hAnsi="Arial" w:cs="Arial"/>
          <w:i/>
        </w:rPr>
        <w:t>Building Act</w:t>
      </w:r>
      <w:r w:rsidR="0025678A" w:rsidRPr="00525CB6">
        <w:rPr>
          <w:rFonts w:ascii="Arial" w:hAnsi="Arial" w:cs="Arial"/>
        </w:rPr>
        <w:t>.</w:t>
      </w:r>
    </w:p>
    <w:p w:rsidR="003E4F8E" w:rsidRPr="00525CB6" w:rsidRDefault="0025678A" w:rsidP="0025678A">
      <w:pPr>
        <w:ind w:left="3686" w:hanging="3686"/>
        <w:rPr>
          <w:rFonts w:ascii="Arial" w:hAnsi="Arial" w:cs="Arial"/>
          <w:highlight w:val="yellow"/>
          <w:lang w:val="en-GB"/>
        </w:rPr>
      </w:pPr>
      <w:r w:rsidRPr="00525CB6">
        <w:rPr>
          <w:rFonts w:ascii="Arial" w:hAnsi="Arial" w:cs="Arial"/>
          <w:b/>
        </w:rPr>
        <w:t>Inquiry Board</w:t>
      </w:r>
      <w:r w:rsidR="003B38E2" w:rsidRPr="00525CB6">
        <w:rPr>
          <w:rFonts w:ascii="Arial" w:hAnsi="Arial" w:cs="Arial"/>
          <w:b/>
          <w:lang w:val="en-GB"/>
        </w:rPr>
        <w:t>:</w:t>
      </w:r>
      <w:r w:rsidR="003B38E2" w:rsidRPr="00525CB6">
        <w:rPr>
          <w:rFonts w:ascii="Arial" w:hAnsi="Arial" w:cs="Arial"/>
          <w:b/>
          <w:lang w:val="en-GB"/>
        </w:rPr>
        <w:tab/>
      </w:r>
      <w:r w:rsidR="00070428" w:rsidRPr="00525CB6">
        <w:rPr>
          <w:rFonts w:ascii="Arial" w:hAnsi="Arial" w:cs="Arial"/>
          <w:lang w:val="en-GB"/>
        </w:rPr>
        <w:t>Patrick McIntyre (Presiding Member)</w:t>
      </w:r>
    </w:p>
    <w:p w:rsidR="008E5F56" w:rsidRPr="00525CB6" w:rsidRDefault="003E4F8E" w:rsidP="0025678A">
      <w:pPr>
        <w:ind w:left="3686" w:hanging="3686"/>
        <w:rPr>
          <w:rFonts w:ascii="Arial" w:hAnsi="Arial" w:cs="Arial"/>
        </w:rPr>
      </w:pPr>
      <w:r w:rsidRPr="00525CB6">
        <w:rPr>
          <w:rFonts w:ascii="Arial" w:hAnsi="Arial" w:cs="Arial"/>
        </w:rPr>
        <w:tab/>
      </w:r>
      <w:r w:rsidR="00070428" w:rsidRPr="00525CB6">
        <w:rPr>
          <w:rFonts w:ascii="Arial" w:hAnsi="Arial" w:cs="Arial"/>
        </w:rPr>
        <w:t>Robert Cox</w:t>
      </w:r>
    </w:p>
    <w:p w:rsidR="003E4F8E" w:rsidRPr="00525CB6" w:rsidRDefault="003E4F8E" w:rsidP="0025678A">
      <w:pPr>
        <w:ind w:left="3686" w:hanging="3686"/>
        <w:rPr>
          <w:rFonts w:ascii="Arial" w:hAnsi="Arial" w:cs="Arial"/>
        </w:rPr>
      </w:pPr>
      <w:r w:rsidRPr="00525CB6">
        <w:rPr>
          <w:rFonts w:ascii="Arial" w:hAnsi="Arial" w:cs="Arial"/>
        </w:rPr>
        <w:tab/>
      </w:r>
      <w:r w:rsidR="00070428" w:rsidRPr="00525CB6">
        <w:rPr>
          <w:rFonts w:ascii="Arial" w:hAnsi="Arial" w:cs="Arial"/>
        </w:rPr>
        <w:t>Adam Aitken</w:t>
      </w:r>
    </w:p>
    <w:p w:rsidR="005F725E" w:rsidRPr="00525CB6" w:rsidRDefault="00DB64C1" w:rsidP="0025678A">
      <w:pPr>
        <w:ind w:left="3686" w:hanging="3686"/>
        <w:rPr>
          <w:rFonts w:ascii="Arial" w:hAnsi="Arial" w:cs="Arial"/>
        </w:rPr>
      </w:pPr>
      <w:r w:rsidRPr="00525CB6">
        <w:rPr>
          <w:rFonts w:ascii="Arial" w:hAnsi="Arial" w:cs="Arial"/>
          <w:b/>
        </w:rPr>
        <w:tab/>
      </w:r>
    </w:p>
    <w:p w:rsidR="003E237A" w:rsidRPr="00525CB6" w:rsidRDefault="003B38E2" w:rsidP="003E237A">
      <w:pPr>
        <w:spacing w:after="200"/>
        <w:ind w:left="3686" w:hanging="3686"/>
        <w:rPr>
          <w:rFonts w:ascii="Arial" w:hAnsi="Arial" w:cs="Arial"/>
        </w:rPr>
      </w:pPr>
      <w:r w:rsidRPr="00525CB6">
        <w:rPr>
          <w:rFonts w:ascii="Arial" w:hAnsi="Arial" w:cs="Arial"/>
          <w:b/>
        </w:rPr>
        <w:t>Date of Decision:</w:t>
      </w:r>
      <w:r w:rsidRPr="00525CB6">
        <w:rPr>
          <w:rFonts w:ascii="Arial" w:hAnsi="Arial" w:cs="Arial"/>
          <w:b/>
        </w:rPr>
        <w:tab/>
      </w:r>
      <w:r w:rsidR="008522AC" w:rsidRPr="00525CB6">
        <w:rPr>
          <w:rFonts w:ascii="Arial" w:hAnsi="Arial" w:cs="Arial"/>
        </w:rPr>
        <w:t>14 March 2018</w:t>
      </w:r>
    </w:p>
    <w:p w:rsidR="003E237A" w:rsidRPr="00525CB6" w:rsidRDefault="003E237A" w:rsidP="003E237A">
      <w:pPr>
        <w:spacing w:after="200"/>
        <w:ind w:left="3686" w:hanging="3686"/>
        <w:rPr>
          <w:rFonts w:ascii="Arial" w:hAnsi="Arial" w:cs="Arial"/>
        </w:rPr>
      </w:pPr>
    </w:p>
    <w:p w:rsidR="0012027A" w:rsidRPr="00F141D4" w:rsidRDefault="008E5F56" w:rsidP="00525CB6">
      <w:pPr>
        <w:spacing w:after="200"/>
        <w:rPr>
          <w:rFonts w:ascii="Arial" w:hAnsi="Arial" w:cs="Arial"/>
          <w:b/>
          <w:sz w:val="28"/>
          <w:szCs w:val="28"/>
        </w:rPr>
      </w:pPr>
      <w:r w:rsidRPr="00F141D4">
        <w:rPr>
          <w:rFonts w:ascii="Arial" w:hAnsi="Arial" w:cs="Arial"/>
          <w:b/>
          <w:sz w:val="28"/>
          <w:szCs w:val="28"/>
        </w:rPr>
        <w:t>Background</w:t>
      </w:r>
    </w:p>
    <w:p w:rsidR="004136EF" w:rsidRPr="00525CB6" w:rsidRDefault="00A956C4" w:rsidP="00F141D4">
      <w:pPr>
        <w:pStyle w:val="ListParagraph"/>
        <w:numPr>
          <w:ilvl w:val="0"/>
          <w:numId w:val="27"/>
        </w:numPr>
        <w:spacing w:after="200"/>
        <w:ind w:left="567" w:hanging="425"/>
        <w:jc w:val="both"/>
        <w:rPr>
          <w:rFonts w:ascii="Arial" w:hAnsi="Arial" w:cs="Arial"/>
        </w:rPr>
      </w:pPr>
      <w:r w:rsidRPr="00525CB6">
        <w:rPr>
          <w:rFonts w:ascii="Arial" w:hAnsi="Arial" w:cs="Arial"/>
        </w:rPr>
        <w:t xml:space="preserve">On </w:t>
      </w:r>
      <w:r w:rsidR="008522AC" w:rsidRPr="00525CB6">
        <w:rPr>
          <w:rFonts w:ascii="Arial" w:hAnsi="Arial" w:cs="Arial"/>
        </w:rPr>
        <w:t>20</w:t>
      </w:r>
      <w:r w:rsidR="00917DD0" w:rsidRPr="00525CB6">
        <w:rPr>
          <w:rFonts w:ascii="Arial" w:hAnsi="Arial" w:cs="Arial"/>
        </w:rPr>
        <w:t xml:space="preserve"> </w:t>
      </w:r>
      <w:r w:rsidR="008522AC" w:rsidRPr="00525CB6">
        <w:rPr>
          <w:rFonts w:ascii="Arial" w:hAnsi="Arial" w:cs="Arial"/>
        </w:rPr>
        <w:t>November 2017</w:t>
      </w:r>
      <w:r w:rsidRPr="00525CB6">
        <w:rPr>
          <w:rFonts w:ascii="Arial" w:hAnsi="Arial" w:cs="Arial"/>
        </w:rPr>
        <w:t xml:space="preserve"> the Director of Building Control referred a matter to the Building Practitioners Board (the Board) for</w:t>
      </w:r>
      <w:bookmarkStart w:id="0" w:name="_GoBack"/>
      <w:bookmarkEnd w:id="0"/>
      <w:r w:rsidRPr="00525CB6">
        <w:rPr>
          <w:rFonts w:ascii="Arial" w:hAnsi="Arial" w:cs="Arial"/>
        </w:rPr>
        <w:t xml:space="preserve"> inquiry under section </w:t>
      </w:r>
      <w:r w:rsidR="008522AC" w:rsidRPr="00525CB6">
        <w:rPr>
          <w:rFonts w:ascii="Arial" w:hAnsi="Arial" w:cs="Arial"/>
        </w:rPr>
        <w:t>34(10(a)</w:t>
      </w:r>
      <w:r w:rsidRPr="00525CB6">
        <w:rPr>
          <w:rFonts w:ascii="Arial" w:hAnsi="Arial" w:cs="Arial"/>
        </w:rPr>
        <w:t xml:space="preserve"> of the </w:t>
      </w:r>
      <w:r w:rsidRPr="00525CB6">
        <w:rPr>
          <w:rFonts w:ascii="Arial" w:hAnsi="Arial" w:cs="Arial"/>
          <w:i/>
        </w:rPr>
        <w:t>Building Act (the Act)</w:t>
      </w:r>
      <w:r w:rsidRPr="00525CB6">
        <w:rPr>
          <w:rFonts w:ascii="Arial" w:hAnsi="Arial" w:cs="Arial"/>
        </w:rPr>
        <w:t xml:space="preserve">. The matter relates to </w:t>
      </w:r>
      <w:r w:rsidR="008522AC" w:rsidRPr="00525CB6">
        <w:rPr>
          <w:rFonts w:ascii="Arial" w:hAnsi="Arial" w:cs="Arial"/>
        </w:rPr>
        <w:t>allegations that the Building Practitioner</w:t>
      </w:r>
      <w:r w:rsidR="004136EF" w:rsidRPr="00525CB6">
        <w:rPr>
          <w:rFonts w:ascii="Arial" w:hAnsi="Arial" w:cs="Arial"/>
        </w:rPr>
        <w:t xml:space="preserve"> committed an offence pursuant to section 34(E)(2)</w:t>
      </w:r>
      <w:r w:rsidR="007E7055" w:rsidRPr="00525CB6">
        <w:rPr>
          <w:rFonts w:ascii="Arial" w:hAnsi="Arial" w:cs="Arial"/>
        </w:rPr>
        <w:t>(a)</w:t>
      </w:r>
      <w:r w:rsidR="004136EF" w:rsidRPr="00525CB6">
        <w:rPr>
          <w:rFonts w:ascii="Arial" w:hAnsi="Arial" w:cs="Arial"/>
        </w:rPr>
        <w:t xml:space="preserve"> of the </w:t>
      </w:r>
      <w:r w:rsidR="00834D3F" w:rsidRPr="00525CB6">
        <w:rPr>
          <w:rFonts w:ascii="Arial" w:hAnsi="Arial" w:cs="Arial"/>
        </w:rPr>
        <w:t>Act in failing to comply with a reasonable request of the auditor to produce documents</w:t>
      </w:r>
      <w:r w:rsidR="004136EF" w:rsidRPr="00525CB6">
        <w:rPr>
          <w:rFonts w:ascii="Arial" w:hAnsi="Arial" w:cs="Arial"/>
        </w:rPr>
        <w:t xml:space="preserve">. </w:t>
      </w:r>
    </w:p>
    <w:p w:rsidR="007E7055" w:rsidRPr="00525CB6" w:rsidRDefault="009C2F36" w:rsidP="00F141D4">
      <w:pPr>
        <w:pStyle w:val="ListParagraph"/>
        <w:numPr>
          <w:ilvl w:val="0"/>
          <w:numId w:val="27"/>
        </w:numPr>
        <w:spacing w:after="200"/>
        <w:ind w:left="567" w:hanging="425"/>
        <w:jc w:val="both"/>
        <w:rPr>
          <w:rFonts w:ascii="Arial" w:hAnsi="Arial" w:cs="Arial"/>
        </w:rPr>
      </w:pPr>
      <w:r w:rsidRPr="00525CB6">
        <w:rPr>
          <w:rFonts w:ascii="Arial" w:hAnsi="Arial" w:cs="Arial"/>
        </w:rPr>
        <w:t xml:space="preserve">Ms Monk, appearing on behalf of the Director of Building Control, </w:t>
      </w:r>
      <w:r w:rsidR="004136EF" w:rsidRPr="00525CB6">
        <w:rPr>
          <w:rFonts w:ascii="Arial" w:hAnsi="Arial" w:cs="Arial"/>
        </w:rPr>
        <w:t xml:space="preserve">and the Building Practitioner </w:t>
      </w:r>
      <w:r w:rsidRPr="00525CB6">
        <w:rPr>
          <w:rFonts w:ascii="Arial" w:hAnsi="Arial" w:cs="Arial"/>
        </w:rPr>
        <w:t>(</w:t>
      </w:r>
      <w:r w:rsidRPr="00525CB6">
        <w:rPr>
          <w:rFonts w:ascii="Arial" w:hAnsi="Arial" w:cs="Arial"/>
          <w:i/>
        </w:rPr>
        <w:t>Mr Giannakas</w:t>
      </w:r>
      <w:r w:rsidRPr="00525CB6">
        <w:rPr>
          <w:rFonts w:ascii="Arial" w:hAnsi="Arial" w:cs="Arial"/>
        </w:rPr>
        <w:t xml:space="preserve">), </w:t>
      </w:r>
      <w:r w:rsidR="007E7055" w:rsidRPr="00525CB6">
        <w:rPr>
          <w:rFonts w:ascii="Arial" w:hAnsi="Arial" w:cs="Arial"/>
        </w:rPr>
        <w:t xml:space="preserve">jointly tendered to </w:t>
      </w:r>
      <w:r w:rsidR="004136EF" w:rsidRPr="00525CB6">
        <w:rPr>
          <w:rFonts w:ascii="Arial" w:hAnsi="Arial" w:cs="Arial"/>
        </w:rPr>
        <w:t xml:space="preserve">the Inquiry Board </w:t>
      </w:r>
      <w:r w:rsidR="007E7055" w:rsidRPr="00525CB6">
        <w:rPr>
          <w:rFonts w:ascii="Arial" w:hAnsi="Arial" w:cs="Arial"/>
        </w:rPr>
        <w:t>a</w:t>
      </w:r>
      <w:r w:rsidR="004136EF" w:rsidRPr="00525CB6">
        <w:rPr>
          <w:rFonts w:ascii="Arial" w:hAnsi="Arial" w:cs="Arial"/>
        </w:rPr>
        <w:t xml:space="preserve"> written list of agreed facts in a signed document</w:t>
      </w:r>
      <w:r w:rsidR="00525CB6">
        <w:rPr>
          <w:rFonts w:ascii="Arial" w:hAnsi="Arial" w:cs="Arial"/>
        </w:rPr>
        <w:t>,</w:t>
      </w:r>
      <w:r w:rsidR="004136EF" w:rsidRPr="00525CB6">
        <w:rPr>
          <w:rFonts w:ascii="Arial" w:hAnsi="Arial" w:cs="Arial"/>
        </w:rPr>
        <w:t xml:space="preserve"> dated 14 February 2018</w:t>
      </w:r>
      <w:r w:rsidR="00525CB6">
        <w:rPr>
          <w:rFonts w:ascii="Arial" w:hAnsi="Arial" w:cs="Arial"/>
        </w:rPr>
        <w:t>,</w:t>
      </w:r>
      <w:r w:rsidR="004136EF" w:rsidRPr="00525CB6">
        <w:rPr>
          <w:rFonts w:ascii="Arial" w:hAnsi="Arial" w:cs="Arial"/>
        </w:rPr>
        <w:t xml:space="preserve"> headed ‘Summary of Agreed Facts’</w:t>
      </w:r>
      <w:r w:rsidR="007E7055" w:rsidRPr="00525CB6">
        <w:rPr>
          <w:rFonts w:ascii="Arial" w:hAnsi="Arial" w:cs="Arial"/>
        </w:rPr>
        <w:t xml:space="preserve"> which was marked Exhibit One.</w:t>
      </w:r>
      <w:r w:rsidR="004136EF" w:rsidRPr="00525CB6">
        <w:rPr>
          <w:rFonts w:ascii="Arial" w:hAnsi="Arial" w:cs="Arial"/>
        </w:rPr>
        <w:t xml:space="preserve"> </w:t>
      </w:r>
      <w:r w:rsidR="007E7055" w:rsidRPr="00525CB6">
        <w:rPr>
          <w:rFonts w:ascii="Arial" w:hAnsi="Arial" w:cs="Arial"/>
        </w:rPr>
        <w:t>Exhibit One is annexed to these reasons.</w:t>
      </w:r>
    </w:p>
    <w:p w:rsidR="004136EF" w:rsidRPr="00525CB6" w:rsidRDefault="009C2F36" w:rsidP="00F141D4">
      <w:pPr>
        <w:pStyle w:val="ListParagraph"/>
        <w:numPr>
          <w:ilvl w:val="0"/>
          <w:numId w:val="27"/>
        </w:numPr>
        <w:spacing w:after="200"/>
        <w:ind w:left="567" w:hanging="425"/>
        <w:jc w:val="both"/>
        <w:rPr>
          <w:rFonts w:ascii="Arial" w:hAnsi="Arial" w:cs="Arial"/>
        </w:rPr>
      </w:pPr>
      <w:r w:rsidRPr="00525CB6">
        <w:rPr>
          <w:rFonts w:ascii="Arial" w:hAnsi="Arial" w:cs="Arial"/>
        </w:rPr>
        <w:t xml:space="preserve">Mr Giannakas </w:t>
      </w:r>
      <w:r w:rsidR="007E7055" w:rsidRPr="00525CB6">
        <w:rPr>
          <w:rFonts w:ascii="Arial" w:hAnsi="Arial" w:cs="Arial"/>
        </w:rPr>
        <w:t>entered a plea of guilty to a breach of Section 34E(2)(a) of the</w:t>
      </w:r>
      <w:r w:rsidR="007910D0" w:rsidRPr="00525CB6">
        <w:rPr>
          <w:rFonts w:ascii="Arial" w:hAnsi="Arial" w:cs="Arial"/>
        </w:rPr>
        <w:t xml:space="preserve"> </w:t>
      </w:r>
      <w:r w:rsidR="007910D0" w:rsidRPr="00525CB6">
        <w:rPr>
          <w:rFonts w:ascii="Arial" w:hAnsi="Arial" w:cs="Arial"/>
          <w:i/>
        </w:rPr>
        <w:t>Act</w:t>
      </w:r>
      <w:r w:rsidRPr="00525CB6">
        <w:rPr>
          <w:rFonts w:ascii="Arial" w:hAnsi="Arial" w:cs="Arial"/>
        </w:rPr>
        <w:t>. He did so</w:t>
      </w:r>
      <w:r w:rsidR="007910D0" w:rsidRPr="00525CB6">
        <w:rPr>
          <w:rFonts w:ascii="Arial" w:hAnsi="Arial" w:cs="Arial"/>
        </w:rPr>
        <w:t xml:space="preserve"> </w:t>
      </w:r>
      <w:r w:rsidR="007E7055" w:rsidRPr="00525CB6">
        <w:rPr>
          <w:rFonts w:ascii="Arial" w:hAnsi="Arial" w:cs="Arial"/>
          <w:iCs/>
        </w:rPr>
        <w:t>on the basis of the agreed facts</w:t>
      </w:r>
      <w:r w:rsidR="00C325DA" w:rsidRPr="00525CB6">
        <w:rPr>
          <w:rFonts w:ascii="Arial" w:hAnsi="Arial" w:cs="Arial"/>
          <w:iCs/>
        </w:rPr>
        <w:t xml:space="preserve"> and t</w:t>
      </w:r>
      <w:r w:rsidR="007E7055" w:rsidRPr="00525CB6">
        <w:rPr>
          <w:rFonts w:ascii="Arial" w:hAnsi="Arial" w:cs="Arial"/>
        </w:rPr>
        <w:t>he Inquiry Board</w:t>
      </w:r>
      <w:r w:rsidR="00C325DA" w:rsidRPr="00525CB6">
        <w:rPr>
          <w:rFonts w:ascii="Arial" w:hAnsi="Arial" w:cs="Arial"/>
        </w:rPr>
        <w:t xml:space="preserve"> concluded that the plea of guilty and Exhibit One were sufficient to compel a finding by the Inquiry Board pursuant to section 34S(a) </w:t>
      </w:r>
      <w:r w:rsidR="007910D0" w:rsidRPr="00525CB6">
        <w:rPr>
          <w:rFonts w:ascii="Arial" w:hAnsi="Arial" w:cs="Arial"/>
        </w:rPr>
        <w:t xml:space="preserve">of the Act </w:t>
      </w:r>
      <w:r w:rsidR="00C325DA" w:rsidRPr="00525CB6">
        <w:rPr>
          <w:rFonts w:ascii="Arial" w:hAnsi="Arial" w:cs="Arial"/>
        </w:rPr>
        <w:t xml:space="preserve">on the balance of probabilities that the Building Practitioner had committed an offence pursuant to section 34(2)(a) of </w:t>
      </w:r>
      <w:r w:rsidR="00C325DA" w:rsidRPr="00525CB6">
        <w:rPr>
          <w:rFonts w:ascii="Arial" w:hAnsi="Arial" w:cs="Arial"/>
          <w:i/>
        </w:rPr>
        <w:t>the</w:t>
      </w:r>
      <w:r w:rsidR="00C325DA" w:rsidRPr="00525CB6">
        <w:rPr>
          <w:rFonts w:ascii="Arial" w:hAnsi="Arial" w:cs="Arial"/>
        </w:rPr>
        <w:t xml:space="preserve"> </w:t>
      </w:r>
      <w:r w:rsidR="007910D0" w:rsidRPr="00525CB6">
        <w:rPr>
          <w:rFonts w:ascii="Arial" w:hAnsi="Arial" w:cs="Arial"/>
        </w:rPr>
        <w:t>Act.</w:t>
      </w:r>
    </w:p>
    <w:p w:rsidR="00FD5796" w:rsidRPr="00F141D4" w:rsidRDefault="00DA06D1" w:rsidP="00F141D4">
      <w:pPr>
        <w:pStyle w:val="Heading2"/>
        <w:spacing w:before="480" w:line="360" w:lineRule="auto"/>
        <w:rPr>
          <w:rFonts w:cs="Arial"/>
        </w:rPr>
      </w:pPr>
      <w:r w:rsidRPr="00F141D4">
        <w:rPr>
          <w:rFonts w:cs="Arial"/>
        </w:rPr>
        <w:t xml:space="preserve">Submissions on </w:t>
      </w:r>
      <w:r w:rsidR="007910D0" w:rsidRPr="00F141D4">
        <w:rPr>
          <w:rFonts w:cs="Arial"/>
        </w:rPr>
        <w:t>Penalty</w:t>
      </w:r>
    </w:p>
    <w:p w:rsidR="00DA06D1" w:rsidRPr="00525CB6" w:rsidRDefault="007910D0" w:rsidP="00F141D4">
      <w:pPr>
        <w:pStyle w:val="ListParagraph"/>
        <w:numPr>
          <w:ilvl w:val="0"/>
          <w:numId w:val="27"/>
        </w:numPr>
        <w:spacing w:after="200"/>
        <w:ind w:left="567"/>
        <w:jc w:val="both"/>
        <w:rPr>
          <w:rFonts w:ascii="Arial" w:eastAsiaTheme="minorHAnsi" w:hAnsi="Arial" w:cs="Arial"/>
        </w:rPr>
      </w:pPr>
      <w:r w:rsidRPr="00525CB6">
        <w:rPr>
          <w:rFonts w:ascii="Arial" w:hAnsi="Arial" w:cs="Arial"/>
        </w:rPr>
        <w:t>The Parties were invited to make submissions about the action appropriate to be taken by the Inquiry Board pursuant to section 34T and 34U of the Act.</w:t>
      </w:r>
    </w:p>
    <w:p w:rsidR="0012027A" w:rsidRPr="00525CB6" w:rsidRDefault="007910D0" w:rsidP="00F141D4">
      <w:pPr>
        <w:pStyle w:val="ListParagraph"/>
        <w:numPr>
          <w:ilvl w:val="0"/>
          <w:numId w:val="27"/>
        </w:numPr>
        <w:spacing w:after="200"/>
        <w:ind w:left="567"/>
        <w:jc w:val="both"/>
        <w:rPr>
          <w:rFonts w:ascii="Arial" w:eastAsiaTheme="minorHAnsi" w:hAnsi="Arial" w:cs="Arial"/>
        </w:rPr>
      </w:pPr>
      <w:r w:rsidRPr="00525CB6">
        <w:rPr>
          <w:rFonts w:ascii="Arial" w:hAnsi="Arial" w:cs="Arial"/>
        </w:rPr>
        <w:t xml:space="preserve">Ms Monk, appearing on behalf of the Director of Building Control, submitted that </w:t>
      </w:r>
      <w:r w:rsidR="00834D3F" w:rsidRPr="00525CB6">
        <w:rPr>
          <w:rFonts w:ascii="Arial" w:hAnsi="Arial" w:cs="Arial"/>
        </w:rPr>
        <w:t xml:space="preserve">the Inquiry Board should </w:t>
      </w:r>
      <w:r w:rsidR="00DA06D1" w:rsidRPr="00525CB6">
        <w:rPr>
          <w:rFonts w:ascii="Arial" w:hAnsi="Arial" w:cs="Arial"/>
        </w:rPr>
        <w:t>such</w:t>
      </w:r>
      <w:r w:rsidR="00834D3F" w:rsidRPr="00525CB6">
        <w:rPr>
          <w:rFonts w:ascii="Arial" w:hAnsi="Arial" w:cs="Arial"/>
        </w:rPr>
        <w:t xml:space="preserve"> action, pursuant to section 34U of </w:t>
      </w:r>
      <w:r w:rsidR="00834D3F" w:rsidRPr="00525CB6">
        <w:rPr>
          <w:rFonts w:ascii="Arial" w:hAnsi="Arial" w:cs="Arial"/>
          <w:i/>
        </w:rPr>
        <w:t>the Act</w:t>
      </w:r>
      <w:r w:rsidR="00DA06D1" w:rsidRPr="00525CB6">
        <w:rPr>
          <w:rFonts w:ascii="Arial" w:hAnsi="Arial" w:cs="Arial"/>
        </w:rPr>
        <w:t xml:space="preserve">, as would ensure that the Building Practitioner cooperated with the auditor and that the auditor would be able to conclude an audit report in relation to </w:t>
      </w:r>
      <w:r w:rsidR="009C2F36" w:rsidRPr="00525CB6">
        <w:rPr>
          <w:rFonts w:ascii="Arial" w:hAnsi="Arial" w:cs="Arial"/>
        </w:rPr>
        <w:t>Mr Giannakas</w:t>
      </w:r>
      <w:r w:rsidR="00DA06D1" w:rsidRPr="00525CB6">
        <w:rPr>
          <w:rFonts w:ascii="Arial" w:hAnsi="Arial" w:cs="Arial"/>
        </w:rPr>
        <w:t>.</w:t>
      </w:r>
    </w:p>
    <w:p w:rsidR="00D745FA" w:rsidRPr="00525CB6" w:rsidRDefault="00DA06D1" w:rsidP="00F141D4">
      <w:pPr>
        <w:pStyle w:val="ListParagraph"/>
        <w:numPr>
          <w:ilvl w:val="0"/>
          <w:numId w:val="27"/>
        </w:numPr>
        <w:ind w:left="567" w:right="-71"/>
        <w:jc w:val="both"/>
        <w:rPr>
          <w:rFonts w:ascii="Arial" w:hAnsi="Arial" w:cs="Arial"/>
          <w:color w:val="000000"/>
        </w:rPr>
      </w:pPr>
      <w:r w:rsidRPr="00525CB6">
        <w:rPr>
          <w:rFonts w:ascii="Arial" w:hAnsi="Arial" w:cs="Arial"/>
          <w:color w:val="000000"/>
        </w:rPr>
        <w:t xml:space="preserve">The Building Practitioner submitted that in the period leading up to the service of the Notice to Produce Documents-Audit on the 27 April 2017 </w:t>
      </w:r>
      <w:r w:rsidR="00440171" w:rsidRPr="00525CB6">
        <w:rPr>
          <w:rFonts w:ascii="Arial" w:hAnsi="Arial" w:cs="Arial"/>
          <w:color w:val="000000"/>
        </w:rPr>
        <w:t>(</w:t>
      </w:r>
      <w:r w:rsidR="00440171" w:rsidRPr="00525CB6">
        <w:rPr>
          <w:rFonts w:ascii="Arial" w:hAnsi="Arial" w:cs="Arial"/>
          <w:i/>
          <w:color w:val="000000"/>
        </w:rPr>
        <w:t>Notice to Produce</w:t>
      </w:r>
      <w:r w:rsidR="00440171" w:rsidRPr="00525CB6">
        <w:rPr>
          <w:rFonts w:ascii="Arial" w:hAnsi="Arial" w:cs="Arial"/>
          <w:color w:val="000000"/>
        </w:rPr>
        <w:t xml:space="preserve">) </w:t>
      </w:r>
      <w:r w:rsidRPr="00525CB6">
        <w:rPr>
          <w:rFonts w:ascii="Arial" w:hAnsi="Arial" w:cs="Arial"/>
          <w:color w:val="000000"/>
        </w:rPr>
        <w:t xml:space="preserve">and including the second half of 2016 he had experienced a family breakup and was in the process of shutting down his business as well as experiencing financial hardship. </w:t>
      </w:r>
      <w:r w:rsidR="007630BA" w:rsidRPr="00525CB6">
        <w:rPr>
          <w:rFonts w:ascii="Arial" w:hAnsi="Arial" w:cs="Arial"/>
          <w:color w:val="000000"/>
        </w:rPr>
        <w:t>He mentioned that he had been let down by a major client</w:t>
      </w:r>
      <w:r w:rsidR="00D745FA" w:rsidRPr="00525CB6">
        <w:rPr>
          <w:rFonts w:ascii="Arial" w:hAnsi="Arial" w:cs="Arial"/>
          <w:color w:val="000000"/>
        </w:rPr>
        <w:t xml:space="preserve"> whose breach of contractual </w:t>
      </w:r>
      <w:r w:rsidR="00D745FA" w:rsidRPr="00525CB6">
        <w:rPr>
          <w:rFonts w:ascii="Arial" w:hAnsi="Arial" w:cs="Arial"/>
          <w:color w:val="000000"/>
        </w:rPr>
        <w:lastRenderedPageBreak/>
        <w:t>conditions undermined the capacity of Mr Giannakas to continue to trade in his usual way</w:t>
      </w:r>
    </w:p>
    <w:p w:rsidR="00440171" w:rsidRPr="00525CB6" w:rsidRDefault="00440171" w:rsidP="00F141D4">
      <w:pPr>
        <w:pStyle w:val="ListParagraph"/>
        <w:ind w:left="567" w:right="-71"/>
        <w:jc w:val="both"/>
        <w:rPr>
          <w:rFonts w:ascii="Arial" w:hAnsi="Arial" w:cs="Arial"/>
          <w:color w:val="000000"/>
        </w:rPr>
      </w:pPr>
    </w:p>
    <w:p w:rsidR="00440171" w:rsidRPr="00525CB6" w:rsidRDefault="009C2F36" w:rsidP="00F141D4">
      <w:pPr>
        <w:pStyle w:val="ListParagraph"/>
        <w:numPr>
          <w:ilvl w:val="0"/>
          <w:numId w:val="27"/>
        </w:numPr>
        <w:ind w:left="567" w:right="-71"/>
        <w:jc w:val="both"/>
        <w:rPr>
          <w:rFonts w:ascii="Arial" w:hAnsi="Arial" w:cs="Arial"/>
          <w:color w:val="000000"/>
        </w:rPr>
      </w:pPr>
      <w:r w:rsidRPr="00525CB6">
        <w:rPr>
          <w:rFonts w:ascii="Arial" w:hAnsi="Arial" w:cs="Arial"/>
          <w:color w:val="000000"/>
        </w:rPr>
        <w:t>Mr Giannakas</w:t>
      </w:r>
      <w:r w:rsidR="00440171" w:rsidRPr="00525CB6">
        <w:rPr>
          <w:rFonts w:ascii="Arial" w:hAnsi="Arial" w:cs="Arial"/>
          <w:color w:val="000000"/>
        </w:rPr>
        <w:t xml:space="preserve"> tendered (with the consent of Ms Monk) a brief report of his treating psychologist, Ms Helen Stathis</w:t>
      </w:r>
      <w:r w:rsidR="00525CB6" w:rsidRPr="00525CB6">
        <w:rPr>
          <w:rFonts w:ascii="Arial" w:hAnsi="Arial" w:cs="Arial"/>
          <w:color w:val="000000"/>
        </w:rPr>
        <w:t>,</w:t>
      </w:r>
      <w:r w:rsidR="00440171" w:rsidRPr="00525CB6">
        <w:rPr>
          <w:rFonts w:ascii="Arial" w:hAnsi="Arial" w:cs="Arial"/>
          <w:color w:val="000000"/>
        </w:rPr>
        <w:t xml:space="preserve"> dated </w:t>
      </w:r>
      <w:r w:rsidR="00525CB6" w:rsidRPr="00525CB6">
        <w:rPr>
          <w:rFonts w:ascii="Arial" w:hAnsi="Arial" w:cs="Arial"/>
          <w:color w:val="000000"/>
        </w:rPr>
        <w:t xml:space="preserve">29 </w:t>
      </w:r>
      <w:r w:rsidR="00440171" w:rsidRPr="00525CB6">
        <w:rPr>
          <w:rFonts w:ascii="Arial" w:hAnsi="Arial" w:cs="Arial"/>
          <w:color w:val="000000"/>
        </w:rPr>
        <w:t>March 201</w:t>
      </w:r>
      <w:r w:rsidRPr="00525CB6">
        <w:rPr>
          <w:rFonts w:ascii="Arial" w:hAnsi="Arial" w:cs="Arial"/>
          <w:color w:val="000000"/>
        </w:rPr>
        <w:t>7</w:t>
      </w:r>
      <w:r w:rsidR="00440171" w:rsidRPr="00525CB6">
        <w:rPr>
          <w:rFonts w:ascii="Arial" w:hAnsi="Arial" w:cs="Arial"/>
          <w:color w:val="000000"/>
        </w:rPr>
        <w:t xml:space="preserve"> (Exhibit Two), in support of his submission that he was suffering severe depression and anxiety at the </w:t>
      </w:r>
      <w:r w:rsidRPr="00525CB6">
        <w:rPr>
          <w:rFonts w:ascii="Arial" w:hAnsi="Arial" w:cs="Arial"/>
          <w:color w:val="000000"/>
        </w:rPr>
        <w:t xml:space="preserve">relevant </w:t>
      </w:r>
      <w:r w:rsidR="00440171" w:rsidRPr="00525CB6">
        <w:rPr>
          <w:rFonts w:ascii="Arial" w:hAnsi="Arial" w:cs="Arial"/>
          <w:color w:val="000000"/>
        </w:rPr>
        <w:t>time.</w:t>
      </w:r>
      <w:r w:rsidRPr="00525CB6">
        <w:rPr>
          <w:rFonts w:ascii="Arial" w:hAnsi="Arial" w:cs="Arial"/>
          <w:color w:val="000000"/>
        </w:rPr>
        <w:t xml:space="preserve"> He further submitted that his symptoms were the reason for his failure to comply with the Notice to Produce.</w:t>
      </w:r>
    </w:p>
    <w:p w:rsidR="009C2F36" w:rsidRPr="00525CB6" w:rsidRDefault="009C2F36" w:rsidP="00F141D4">
      <w:pPr>
        <w:pStyle w:val="ListParagraph"/>
        <w:ind w:left="567" w:right="-71"/>
        <w:jc w:val="both"/>
        <w:rPr>
          <w:rFonts w:ascii="Arial" w:hAnsi="Arial" w:cs="Arial"/>
          <w:color w:val="000000"/>
        </w:rPr>
      </w:pPr>
    </w:p>
    <w:p w:rsidR="00440171" w:rsidRPr="00525CB6" w:rsidRDefault="00440171" w:rsidP="00F141D4">
      <w:pPr>
        <w:pStyle w:val="ListParagraph"/>
        <w:numPr>
          <w:ilvl w:val="0"/>
          <w:numId w:val="27"/>
        </w:numPr>
        <w:ind w:left="567" w:right="-71"/>
        <w:jc w:val="both"/>
        <w:rPr>
          <w:rFonts w:ascii="Arial" w:hAnsi="Arial" w:cs="Arial"/>
          <w:color w:val="000000"/>
        </w:rPr>
      </w:pPr>
      <w:r w:rsidRPr="00525CB6">
        <w:rPr>
          <w:rFonts w:ascii="Arial" w:hAnsi="Arial" w:cs="Arial"/>
          <w:color w:val="000000"/>
        </w:rPr>
        <w:t>When the Inquiry Board pointed out to him that the report of Ms Stathis pre-dated the Notice to Produce, the Building Practitioner</w:t>
      </w:r>
      <w:r w:rsidR="009C2F36" w:rsidRPr="00525CB6">
        <w:rPr>
          <w:rFonts w:ascii="Arial" w:hAnsi="Arial" w:cs="Arial"/>
          <w:color w:val="000000"/>
        </w:rPr>
        <w:t xml:space="preserve"> submitted that he continued to suffer symptoms through the remainder of 2017.</w:t>
      </w:r>
    </w:p>
    <w:p w:rsidR="003E237A" w:rsidRPr="00525CB6" w:rsidRDefault="003E237A" w:rsidP="00F141D4">
      <w:pPr>
        <w:ind w:left="567" w:right="-71"/>
        <w:jc w:val="both"/>
        <w:rPr>
          <w:rFonts w:ascii="Arial" w:hAnsi="Arial" w:cs="Arial"/>
          <w:color w:val="000000"/>
        </w:rPr>
      </w:pPr>
    </w:p>
    <w:p w:rsidR="005E7890" w:rsidRPr="00525CB6" w:rsidRDefault="005E7890" w:rsidP="00F141D4">
      <w:pPr>
        <w:pStyle w:val="ListParagraph"/>
        <w:numPr>
          <w:ilvl w:val="0"/>
          <w:numId w:val="27"/>
        </w:numPr>
        <w:ind w:left="567" w:right="-71"/>
        <w:jc w:val="both"/>
        <w:rPr>
          <w:rFonts w:ascii="Arial" w:hAnsi="Arial" w:cs="Arial"/>
          <w:color w:val="000000"/>
        </w:rPr>
      </w:pPr>
      <w:r w:rsidRPr="00525CB6">
        <w:rPr>
          <w:rFonts w:ascii="Arial" w:hAnsi="Arial" w:cs="Arial"/>
          <w:color w:val="000000"/>
        </w:rPr>
        <w:t>Mr Giannakas informed the Inquiry Board that he understood the importance of audits being undertaken by the Director of Building Control and that he would now be able to comply with the Notice to Produce and would do so within 6 weeks if ordered to do so.</w:t>
      </w:r>
    </w:p>
    <w:p w:rsidR="005E7890" w:rsidRPr="00525CB6" w:rsidRDefault="005E7890" w:rsidP="00F141D4">
      <w:pPr>
        <w:ind w:left="567"/>
        <w:jc w:val="both"/>
        <w:rPr>
          <w:rFonts w:ascii="Arial" w:hAnsi="Arial" w:cs="Arial"/>
          <w:color w:val="000000"/>
        </w:rPr>
      </w:pPr>
    </w:p>
    <w:p w:rsidR="005E7890" w:rsidRPr="00525CB6" w:rsidRDefault="005E7890" w:rsidP="00F141D4">
      <w:pPr>
        <w:pStyle w:val="ListParagraph"/>
        <w:numPr>
          <w:ilvl w:val="0"/>
          <w:numId w:val="27"/>
        </w:numPr>
        <w:ind w:left="567" w:right="-71"/>
        <w:jc w:val="both"/>
        <w:rPr>
          <w:rFonts w:ascii="Arial" w:hAnsi="Arial" w:cs="Arial"/>
          <w:color w:val="000000"/>
        </w:rPr>
      </w:pPr>
      <w:r w:rsidRPr="00525CB6">
        <w:rPr>
          <w:rFonts w:ascii="Arial" w:hAnsi="Arial" w:cs="Arial"/>
          <w:color w:val="000000"/>
        </w:rPr>
        <w:t xml:space="preserve">He submitted that issues concerning consumer protection, in his case, are lessened because he had not undertaken any building work other than on his own home in the 12 months prior to the 14 </w:t>
      </w:r>
      <w:r w:rsidR="000A65AD" w:rsidRPr="00525CB6">
        <w:rPr>
          <w:rFonts w:ascii="Arial" w:hAnsi="Arial" w:cs="Arial"/>
          <w:color w:val="000000"/>
        </w:rPr>
        <w:t>M</w:t>
      </w:r>
      <w:r w:rsidRPr="00525CB6">
        <w:rPr>
          <w:rFonts w:ascii="Arial" w:hAnsi="Arial" w:cs="Arial"/>
          <w:color w:val="000000"/>
        </w:rPr>
        <w:t>arch 2018.</w:t>
      </w:r>
    </w:p>
    <w:p w:rsidR="000A65AD" w:rsidRPr="00525CB6" w:rsidRDefault="000A65AD" w:rsidP="00F141D4">
      <w:pPr>
        <w:ind w:left="567"/>
        <w:jc w:val="both"/>
        <w:rPr>
          <w:rFonts w:ascii="Arial" w:hAnsi="Arial" w:cs="Arial"/>
          <w:color w:val="000000"/>
        </w:rPr>
      </w:pPr>
    </w:p>
    <w:p w:rsidR="000A65AD" w:rsidRPr="00525CB6" w:rsidRDefault="000A65AD" w:rsidP="00F141D4">
      <w:pPr>
        <w:pStyle w:val="ListParagraph"/>
        <w:numPr>
          <w:ilvl w:val="0"/>
          <w:numId w:val="27"/>
        </w:numPr>
        <w:ind w:left="567" w:right="-71"/>
        <w:jc w:val="both"/>
        <w:rPr>
          <w:rFonts w:ascii="Arial" w:hAnsi="Arial" w:cs="Arial"/>
          <w:color w:val="000000"/>
        </w:rPr>
      </w:pPr>
      <w:r w:rsidRPr="00525CB6">
        <w:rPr>
          <w:rFonts w:ascii="Arial" w:hAnsi="Arial" w:cs="Arial"/>
          <w:color w:val="000000"/>
        </w:rPr>
        <w:t>Mr Giannakas submitted that although he has continued to suffer financial hardship he has the capacity to pay a fine if given time to pay; provided monthly insta</w:t>
      </w:r>
      <w:r w:rsidR="00525CB6">
        <w:rPr>
          <w:rFonts w:ascii="Arial" w:hAnsi="Arial" w:cs="Arial"/>
          <w:color w:val="000000"/>
        </w:rPr>
        <w:t>lments did not exceed $500.00.</w:t>
      </w:r>
    </w:p>
    <w:p w:rsidR="00440171" w:rsidRPr="00525CB6" w:rsidRDefault="00440171" w:rsidP="00F141D4">
      <w:pPr>
        <w:pStyle w:val="ListParagraph"/>
        <w:ind w:left="567" w:right="-71"/>
        <w:jc w:val="both"/>
        <w:rPr>
          <w:rFonts w:ascii="Arial" w:hAnsi="Arial" w:cs="Arial"/>
          <w:color w:val="000000"/>
        </w:rPr>
      </w:pPr>
    </w:p>
    <w:p w:rsidR="00DA06D1" w:rsidRPr="00F141D4" w:rsidRDefault="00440171" w:rsidP="00F141D4">
      <w:pPr>
        <w:pStyle w:val="ListParagraph"/>
        <w:spacing w:after="200"/>
        <w:ind w:left="0" w:right="-71"/>
        <w:jc w:val="both"/>
        <w:rPr>
          <w:rFonts w:ascii="Arial" w:eastAsiaTheme="minorHAnsi" w:hAnsi="Arial" w:cs="Arial"/>
          <w:b/>
          <w:color w:val="000000"/>
          <w:sz w:val="28"/>
          <w:szCs w:val="28"/>
        </w:rPr>
      </w:pPr>
      <w:r w:rsidRPr="00F141D4">
        <w:rPr>
          <w:rFonts w:ascii="Arial" w:hAnsi="Arial" w:cs="Arial"/>
          <w:b/>
          <w:color w:val="000000"/>
          <w:sz w:val="28"/>
          <w:szCs w:val="28"/>
        </w:rPr>
        <w:t>Consideration of Submissions</w:t>
      </w:r>
    </w:p>
    <w:p w:rsidR="00DA06D1" w:rsidRPr="00525CB6" w:rsidRDefault="009C2F36" w:rsidP="00F141D4">
      <w:pPr>
        <w:pStyle w:val="ListParagraph"/>
        <w:numPr>
          <w:ilvl w:val="0"/>
          <w:numId w:val="27"/>
        </w:numPr>
        <w:spacing w:after="200"/>
        <w:ind w:left="567"/>
        <w:jc w:val="both"/>
        <w:rPr>
          <w:rFonts w:ascii="Arial" w:eastAsiaTheme="minorHAnsi" w:hAnsi="Arial" w:cs="Arial"/>
        </w:rPr>
      </w:pPr>
      <w:r w:rsidRPr="00525CB6">
        <w:rPr>
          <w:rFonts w:ascii="Arial" w:eastAsiaTheme="minorHAnsi" w:hAnsi="Arial" w:cs="Arial"/>
        </w:rPr>
        <w:t xml:space="preserve">The objects of the Act are set out in section 3 of the Act and </w:t>
      </w:r>
      <w:r w:rsidR="00C158B8" w:rsidRPr="00525CB6">
        <w:rPr>
          <w:rFonts w:ascii="Arial" w:eastAsiaTheme="minorHAnsi" w:hAnsi="Arial" w:cs="Arial"/>
        </w:rPr>
        <w:t>it is worthwhile setting out that section in full.</w:t>
      </w:r>
    </w:p>
    <w:p w:rsidR="00C158B8" w:rsidRPr="00525CB6" w:rsidRDefault="00C158B8" w:rsidP="00F141D4">
      <w:pPr>
        <w:pStyle w:val="Default"/>
        <w:spacing w:line="360" w:lineRule="auto"/>
        <w:ind w:left="152" w:firstLine="415"/>
        <w:jc w:val="both"/>
      </w:pPr>
      <w:r w:rsidRPr="00525CB6">
        <w:t xml:space="preserve">‘The objects of this Act are: </w:t>
      </w:r>
    </w:p>
    <w:p w:rsidR="00C158B8" w:rsidRPr="00525CB6" w:rsidRDefault="00C158B8" w:rsidP="00F141D4">
      <w:pPr>
        <w:pStyle w:val="Default"/>
        <w:ind w:left="152" w:firstLine="568"/>
        <w:jc w:val="both"/>
        <w:rPr>
          <w:i/>
        </w:rPr>
      </w:pPr>
      <w:r w:rsidRPr="00525CB6">
        <w:rPr>
          <w:i/>
        </w:rPr>
        <w:t xml:space="preserve">(a) to establish, maintain and improve building standards; and </w:t>
      </w:r>
    </w:p>
    <w:p w:rsidR="00C158B8" w:rsidRPr="00525CB6" w:rsidRDefault="00C158B8" w:rsidP="00F141D4">
      <w:pPr>
        <w:pStyle w:val="Default"/>
        <w:ind w:left="720"/>
        <w:jc w:val="both"/>
        <w:rPr>
          <w:i/>
        </w:rPr>
      </w:pPr>
      <w:r w:rsidRPr="00525CB6">
        <w:rPr>
          <w:i/>
        </w:rPr>
        <w:t xml:space="preserve">(b) to facilitate the adoption and efficient application of national uniform building standards; and </w:t>
      </w:r>
    </w:p>
    <w:p w:rsidR="00C158B8" w:rsidRPr="00525CB6" w:rsidRDefault="00C158B8" w:rsidP="00F141D4">
      <w:pPr>
        <w:pStyle w:val="Default"/>
        <w:ind w:left="720"/>
        <w:jc w:val="both"/>
        <w:rPr>
          <w:i/>
        </w:rPr>
      </w:pPr>
      <w:r w:rsidRPr="00525CB6">
        <w:rPr>
          <w:i/>
        </w:rPr>
        <w:t xml:space="preserve">(c) to facilitate national uniform accreditation of building products, construction methods, building designs, building components and building systems; and </w:t>
      </w:r>
    </w:p>
    <w:p w:rsidR="00C158B8" w:rsidRPr="00525CB6" w:rsidRDefault="00C158B8" w:rsidP="00F141D4">
      <w:pPr>
        <w:pStyle w:val="Default"/>
        <w:ind w:left="720"/>
        <w:jc w:val="both"/>
        <w:rPr>
          <w:i/>
        </w:rPr>
      </w:pPr>
      <w:r w:rsidRPr="00525CB6">
        <w:rPr>
          <w:i/>
        </w:rPr>
        <w:t xml:space="preserve">(d) to maintain, enhance and improve the safety, health and amenity of people using buildings; and </w:t>
      </w:r>
    </w:p>
    <w:p w:rsidR="00C158B8" w:rsidRPr="00525CB6" w:rsidRDefault="00C158B8" w:rsidP="00F141D4">
      <w:pPr>
        <w:pStyle w:val="Default"/>
        <w:ind w:left="720"/>
        <w:jc w:val="both"/>
        <w:rPr>
          <w:i/>
        </w:rPr>
      </w:pPr>
      <w:r w:rsidRPr="00525CB6">
        <w:rPr>
          <w:i/>
        </w:rPr>
        <w:t xml:space="preserve">(e) to promote and provide for the construction of environmentally efficient buildings; and </w:t>
      </w:r>
    </w:p>
    <w:p w:rsidR="00C158B8" w:rsidRPr="00525CB6" w:rsidRDefault="00C158B8" w:rsidP="00F141D4">
      <w:pPr>
        <w:pStyle w:val="Default"/>
        <w:ind w:left="720"/>
        <w:jc w:val="both"/>
        <w:rPr>
          <w:i/>
        </w:rPr>
      </w:pPr>
      <w:r w:rsidRPr="00525CB6">
        <w:rPr>
          <w:i/>
        </w:rPr>
        <w:t>(f) to provide an efficient and effective system for granting building permits and occupancy certification, administering building matters and resolving building disputes; and</w:t>
      </w:r>
    </w:p>
    <w:p w:rsidR="003E237A" w:rsidRPr="00525CB6" w:rsidRDefault="003E237A" w:rsidP="00F141D4">
      <w:pPr>
        <w:pStyle w:val="Default"/>
        <w:ind w:left="720"/>
        <w:jc w:val="both"/>
        <w:rPr>
          <w:i/>
        </w:rPr>
      </w:pPr>
    </w:p>
    <w:p w:rsidR="00C158B8" w:rsidRPr="00525CB6" w:rsidRDefault="00C158B8" w:rsidP="00F141D4">
      <w:pPr>
        <w:pStyle w:val="Default"/>
        <w:ind w:left="720"/>
        <w:jc w:val="both"/>
        <w:rPr>
          <w:i/>
        </w:rPr>
      </w:pPr>
      <w:r w:rsidRPr="00525CB6">
        <w:rPr>
          <w:i/>
        </w:rPr>
        <w:t xml:space="preserve">(g) to reform aspects of the law relating to the legal liability of regulatory agencies and building practitioners; and </w:t>
      </w:r>
    </w:p>
    <w:p w:rsidR="00C158B8" w:rsidRPr="00525CB6" w:rsidRDefault="00C158B8" w:rsidP="00F141D4">
      <w:pPr>
        <w:pStyle w:val="Default"/>
        <w:ind w:left="720"/>
        <w:jc w:val="both"/>
        <w:rPr>
          <w:i/>
        </w:rPr>
      </w:pPr>
      <w:r w:rsidRPr="00525CB6">
        <w:rPr>
          <w:i/>
        </w:rPr>
        <w:t xml:space="preserve">(h) to facilitate national uniformity in the training and qualifications of certain building practitioners and the recognition of qualifications on a national basis; and </w:t>
      </w:r>
    </w:p>
    <w:p w:rsidR="00C158B8" w:rsidRPr="00525CB6" w:rsidRDefault="00C158B8" w:rsidP="00F141D4">
      <w:pPr>
        <w:pStyle w:val="Default"/>
        <w:ind w:left="152" w:firstLine="568"/>
        <w:jc w:val="both"/>
        <w:rPr>
          <w:i/>
        </w:rPr>
      </w:pPr>
      <w:r w:rsidRPr="00525CB6">
        <w:rPr>
          <w:i/>
        </w:rPr>
        <w:t xml:space="preserve">(ha) to provide for the registration of building practitioners; and </w:t>
      </w:r>
    </w:p>
    <w:p w:rsidR="00C158B8" w:rsidRPr="00525CB6" w:rsidRDefault="00C158B8" w:rsidP="00F141D4">
      <w:pPr>
        <w:pStyle w:val="Default"/>
        <w:ind w:left="720"/>
        <w:jc w:val="both"/>
        <w:rPr>
          <w:i/>
        </w:rPr>
      </w:pPr>
      <w:r w:rsidRPr="00525CB6">
        <w:rPr>
          <w:i/>
        </w:rPr>
        <w:t xml:space="preserve">(hb) to provide for the investigation, audit and disciplining of building practitioners; and </w:t>
      </w:r>
    </w:p>
    <w:p w:rsidR="00C158B8" w:rsidRPr="00525CB6" w:rsidRDefault="00C158B8" w:rsidP="00F141D4">
      <w:pPr>
        <w:pStyle w:val="Default"/>
        <w:ind w:left="720"/>
        <w:jc w:val="both"/>
        <w:rPr>
          <w:i/>
        </w:rPr>
      </w:pPr>
      <w:r w:rsidRPr="00525CB6">
        <w:rPr>
          <w:i/>
        </w:rPr>
        <w:lastRenderedPageBreak/>
        <w:t xml:space="preserve">(hc) to establish a scheme relating to residential building consumer protection and the provision of residential building insurance or fidelity certificates; and </w:t>
      </w:r>
    </w:p>
    <w:p w:rsidR="00C158B8" w:rsidRPr="00525CB6" w:rsidRDefault="00C158B8" w:rsidP="00F141D4">
      <w:pPr>
        <w:pStyle w:val="Default"/>
        <w:ind w:left="152" w:firstLine="568"/>
        <w:jc w:val="both"/>
        <w:rPr>
          <w:i/>
        </w:rPr>
      </w:pPr>
      <w:r w:rsidRPr="00525CB6">
        <w:rPr>
          <w:i/>
        </w:rPr>
        <w:t xml:space="preserve">(j) to facilitate the cost effective construction of buildings; and </w:t>
      </w:r>
    </w:p>
    <w:p w:rsidR="00C158B8" w:rsidRPr="00525CB6" w:rsidRDefault="00C158B8" w:rsidP="00F141D4">
      <w:pPr>
        <w:pStyle w:val="ListParagraph"/>
        <w:spacing w:after="200"/>
        <w:ind w:left="152" w:firstLine="568"/>
        <w:jc w:val="both"/>
        <w:rPr>
          <w:rFonts w:ascii="Arial" w:hAnsi="Arial" w:cs="Arial"/>
          <w:i/>
        </w:rPr>
      </w:pPr>
      <w:r w:rsidRPr="00525CB6">
        <w:rPr>
          <w:rFonts w:ascii="Arial" w:hAnsi="Arial" w:cs="Arial"/>
          <w:i/>
        </w:rPr>
        <w:t>(k) to aid the achievement of an efficient and competitive building industry.</w:t>
      </w:r>
    </w:p>
    <w:p w:rsidR="00C158B8" w:rsidRPr="00525CB6" w:rsidRDefault="00C158B8" w:rsidP="00F141D4">
      <w:pPr>
        <w:pStyle w:val="ListParagraph"/>
        <w:numPr>
          <w:ilvl w:val="0"/>
          <w:numId w:val="27"/>
        </w:numPr>
        <w:spacing w:after="200"/>
        <w:ind w:left="567"/>
        <w:jc w:val="both"/>
        <w:rPr>
          <w:rFonts w:ascii="Arial" w:eastAsiaTheme="minorHAnsi" w:hAnsi="Arial" w:cs="Arial"/>
        </w:rPr>
      </w:pPr>
      <w:r w:rsidRPr="00525CB6">
        <w:rPr>
          <w:rFonts w:ascii="Arial" w:eastAsiaTheme="minorHAnsi" w:hAnsi="Arial" w:cs="Arial"/>
        </w:rPr>
        <w:t xml:space="preserve">Sections 34E, 34S, 34T and 34U of the Act were introduced into the Act as part of a raft of </w:t>
      </w:r>
      <w:r w:rsidR="003E237A" w:rsidRPr="00525CB6">
        <w:rPr>
          <w:rFonts w:ascii="Arial" w:eastAsiaTheme="minorHAnsi" w:hAnsi="Arial" w:cs="Arial"/>
        </w:rPr>
        <w:t xml:space="preserve">  </w:t>
      </w:r>
      <w:r w:rsidRPr="00525CB6">
        <w:rPr>
          <w:rFonts w:ascii="Arial" w:eastAsiaTheme="minorHAnsi" w:hAnsi="Arial" w:cs="Arial"/>
        </w:rPr>
        <w:t xml:space="preserve">amendments made in 2005. </w:t>
      </w:r>
      <w:r w:rsidR="000A65AD" w:rsidRPr="00525CB6">
        <w:rPr>
          <w:rFonts w:ascii="Arial" w:eastAsiaTheme="minorHAnsi" w:hAnsi="Arial" w:cs="Arial"/>
        </w:rPr>
        <w:t>Clearly,</w:t>
      </w:r>
      <w:r w:rsidRPr="00525CB6">
        <w:rPr>
          <w:rFonts w:ascii="Arial" w:eastAsiaTheme="minorHAnsi" w:hAnsi="Arial" w:cs="Arial"/>
        </w:rPr>
        <w:t xml:space="preserve"> Parliament intended by these and other amendments to strengthen the implementation of the objects of the legislation.</w:t>
      </w:r>
    </w:p>
    <w:p w:rsidR="00C158B8" w:rsidRPr="00525CB6" w:rsidRDefault="00C158B8" w:rsidP="00F141D4">
      <w:pPr>
        <w:pStyle w:val="ListParagraph"/>
        <w:numPr>
          <w:ilvl w:val="0"/>
          <w:numId w:val="27"/>
        </w:numPr>
        <w:spacing w:after="200"/>
        <w:ind w:left="567"/>
        <w:jc w:val="both"/>
        <w:rPr>
          <w:rFonts w:ascii="Arial" w:eastAsiaTheme="minorHAnsi" w:hAnsi="Arial" w:cs="Arial"/>
        </w:rPr>
      </w:pPr>
      <w:r w:rsidRPr="00525CB6">
        <w:rPr>
          <w:rFonts w:ascii="Arial" w:eastAsiaTheme="minorHAnsi" w:hAnsi="Arial" w:cs="Arial"/>
        </w:rPr>
        <w:t xml:space="preserve">The failure of Building Practitioners to provide the cooperation </w:t>
      </w:r>
      <w:r w:rsidR="00770A84" w:rsidRPr="00525CB6">
        <w:rPr>
          <w:rFonts w:ascii="Arial" w:eastAsiaTheme="minorHAnsi" w:hAnsi="Arial" w:cs="Arial"/>
        </w:rPr>
        <w:t xml:space="preserve">specified in section 34E </w:t>
      </w:r>
      <w:r w:rsidR="005E7890" w:rsidRPr="00525CB6">
        <w:rPr>
          <w:rFonts w:ascii="Arial" w:eastAsiaTheme="minorHAnsi" w:hAnsi="Arial" w:cs="Arial"/>
        </w:rPr>
        <w:t>undermines the operation of the Act and seriously interferes with its objects; particularly given sub-sections 3(ha), 3(hb) and 3(hc).</w:t>
      </w:r>
    </w:p>
    <w:p w:rsidR="000A65AD" w:rsidRPr="00525CB6" w:rsidRDefault="000A65AD" w:rsidP="00F141D4">
      <w:pPr>
        <w:pStyle w:val="ListParagraph"/>
        <w:numPr>
          <w:ilvl w:val="0"/>
          <w:numId w:val="27"/>
        </w:numPr>
        <w:spacing w:after="200"/>
        <w:ind w:left="567"/>
        <w:jc w:val="both"/>
        <w:rPr>
          <w:rFonts w:ascii="Arial" w:eastAsiaTheme="minorHAnsi" w:hAnsi="Arial" w:cs="Arial"/>
        </w:rPr>
      </w:pPr>
      <w:r w:rsidRPr="00525CB6">
        <w:rPr>
          <w:rFonts w:ascii="Arial" w:eastAsiaTheme="minorHAnsi" w:hAnsi="Arial" w:cs="Arial"/>
        </w:rPr>
        <w:t>Accordingly, this Inquiry Board concludes that the offence for which Mr Giannakas is guilty is far from a minor breach of his responsibilities under the Act.</w:t>
      </w:r>
    </w:p>
    <w:p w:rsidR="000A65AD" w:rsidRPr="00525CB6" w:rsidRDefault="000A65AD" w:rsidP="00F141D4">
      <w:pPr>
        <w:pStyle w:val="ListParagraph"/>
        <w:numPr>
          <w:ilvl w:val="0"/>
          <w:numId w:val="27"/>
        </w:numPr>
        <w:spacing w:after="200"/>
        <w:ind w:left="567"/>
        <w:jc w:val="both"/>
        <w:rPr>
          <w:rFonts w:ascii="Arial" w:hAnsi="Arial" w:cs="Arial"/>
          <w:color w:val="000000"/>
        </w:rPr>
      </w:pPr>
      <w:r w:rsidRPr="00525CB6">
        <w:rPr>
          <w:rFonts w:ascii="Arial" w:eastAsiaTheme="minorHAnsi" w:hAnsi="Arial" w:cs="Arial"/>
        </w:rPr>
        <w:t xml:space="preserve">It is apparent on its </w:t>
      </w:r>
      <w:r w:rsidR="00525CB6" w:rsidRPr="00525CB6">
        <w:rPr>
          <w:rFonts w:ascii="Arial" w:eastAsiaTheme="minorHAnsi" w:hAnsi="Arial" w:cs="Arial"/>
        </w:rPr>
        <w:t>face that</w:t>
      </w:r>
      <w:r w:rsidRPr="00525CB6">
        <w:rPr>
          <w:rFonts w:ascii="Arial" w:eastAsiaTheme="minorHAnsi" w:hAnsi="Arial" w:cs="Arial"/>
        </w:rPr>
        <w:t xml:space="preserve"> the report of </w:t>
      </w:r>
      <w:r w:rsidRPr="00525CB6">
        <w:rPr>
          <w:rFonts w:ascii="Arial" w:hAnsi="Arial" w:cs="Arial"/>
          <w:color w:val="000000"/>
        </w:rPr>
        <w:t>Ms Helen Stathis</w:t>
      </w:r>
      <w:r w:rsidR="00525CB6" w:rsidRPr="00525CB6">
        <w:rPr>
          <w:rFonts w:ascii="Arial" w:hAnsi="Arial" w:cs="Arial"/>
          <w:color w:val="000000"/>
        </w:rPr>
        <w:t>,</w:t>
      </w:r>
      <w:r w:rsidRPr="00525CB6">
        <w:rPr>
          <w:rFonts w:ascii="Arial" w:hAnsi="Arial" w:cs="Arial"/>
          <w:color w:val="000000"/>
        </w:rPr>
        <w:t xml:space="preserve"> dated </w:t>
      </w:r>
      <w:r w:rsidR="00525CB6" w:rsidRPr="00525CB6">
        <w:rPr>
          <w:rFonts w:ascii="Arial" w:hAnsi="Arial" w:cs="Arial"/>
          <w:color w:val="000000"/>
        </w:rPr>
        <w:t xml:space="preserve">29 </w:t>
      </w:r>
      <w:r w:rsidRPr="00525CB6">
        <w:rPr>
          <w:rFonts w:ascii="Arial" w:hAnsi="Arial" w:cs="Arial"/>
          <w:color w:val="000000"/>
        </w:rPr>
        <w:t xml:space="preserve">March 2017, upon which Mr Giannakas relies was not brought into existence specifically for the consideration of this Inquiry Board. Indeed, it pre-dates the Notice to Produce. Nor does it provide obvious support for the submission of Mr </w:t>
      </w:r>
      <w:r w:rsidR="00525CB6" w:rsidRPr="00525CB6">
        <w:rPr>
          <w:rFonts w:ascii="Arial" w:hAnsi="Arial" w:cs="Arial"/>
          <w:color w:val="000000"/>
        </w:rPr>
        <w:t>Giannakas that</w:t>
      </w:r>
      <w:r w:rsidRPr="00525CB6">
        <w:rPr>
          <w:rFonts w:ascii="Arial" w:hAnsi="Arial" w:cs="Arial"/>
          <w:color w:val="000000"/>
        </w:rPr>
        <w:t xml:space="preserve"> his health issues are responsible for his failure, for a period of almost 12 months, to comply with the Notice to Produce.</w:t>
      </w:r>
    </w:p>
    <w:p w:rsidR="000A65AD" w:rsidRPr="00525CB6" w:rsidRDefault="007A7992" w:rsidP="00F141D4">
      <w:pPr>
        <w:pStyle w:val="ListParagraph"/>
        <w:numPr>
          <w:ilvl w:val="0"/>
          <w:numId w:val="27"/>
        </w:numPr>
        <w:spacing w:after="200"/>
        <w:ind w:left="567"/>
        <w:jc w:val="both"/>
        <w:rPr>
          <w:rFonts w:ascii="Arial" w:eastAsiaTheme="minorHAnsi" w:hAnsi="Arial" w:cs="Arial"/>
        </w:rPr>
      </w:pPr>
      <w:r w:rsidRPr="00525CB6">
        <w:rPr>
          <w:rFonts w:ascii="Arial" w:eastAsiaTheme="minorHAnsi" w:hAnsi="Arial" w:cs="Arial"/>
        </w:rPr>
        <w:t>Mr Giannakas provides no other explanation for that extraordinary delay.</w:t>
      </w:r>
    </w:p>
    <w:p w:rsidR="007630BA" w:rsidRPr="00525CB6" w:rsidRDefault="007630BA" w:rsidP="00F141D4">
      <w:pPr>
        <w:pStyle w:val="ListParagraph"/>
        <w:numPr>
          <w:ilvl w:val="0"/>
          <w:numId w:val="27"/>
        </w:numPr>
        <w:spacing w:after="200"/>
        <w:ind w:left="567"/>
        <w:jc w:val="both"/>
        <w:rPr>
          <w:rFonts w:ascii="Arial" w:eastAsiaTheme="minorHAnsi" w:hAnsi="Arial" w:cs="Arial"/>
        </w:rPr>
      </w:pPr>
      <w:r w:rsidRPr="00525CB6">
        <w:rPr>
          <w:rFonts w:ascii="Arial" w:eastAsiaTheme="minorHAnsi" w:hAnsi="Arial" w:cs="Arial"/>
        </w:rPr>
        <w:t xml:space="preserve">Nevertheless, the report of </w:t>
      </w:r>
      <w:r w:rsidRPr="00525CB6">
        <w:rPr>
          <w:rFonts w:ascii="Arial" w:hAnsi="Arial" w:cs="Arial"/>
          <w:color w:val="000000"/>
        </w:rPr>
        <w:t>Ms Helen Stathis</w:t>
      </w:r>
      <w:r w:rsidR="00525CB6" w:rsidRPr="00525CB6">
        <w:rPr>
          <w:rFonts w:ascii="Arial" w:hAnsi="Arial" w:cs="Arial"/>
          <w:color w:val="000000"/>
        </w:rPr>
        <w:t>,</w:t>
      </w:r>
      <w:r w:rsidRPr="00525CB6">
        <w:rPr>
          <w:rFonts w:ascii="Arial" w:hAnsi="Arial" w:cs="Arial"/>
          <w:color w:val="000000"/>
        </w:rPr>
        <w:t xml:space="preserve"> </w:t>
      </w:r>
      <w:r w:rsidR="00525CB6" w:rsidRPr="00525CB6">
        <w:rPr>
          <w:rFonts w:ascii="Arial" w:hAnsi="Arial" w:cs="Arial"/>
          <w:color w:val="000000"/>
        </w:rPr>
        <w:t xml:space="preserve">dated 29 March 2017, </w:t>
      </w:r>
      <w:r w:rsidRPr="00525CB6">
        <w:rPr>
          <w:rFonts w:ascii="Arial" w:hAnsi="Arial" w:cs="Arial"/>
          <w:color w:val="000000"/>
        </w:rPr>
        <w:t xml:space="preserve">does provide support for submissions from Mr </w:t>
      </w:r>
      <w:r w:rsidR="00525CB6" w:rsidRPr="00525CB6">
        <w:rPr>
          <w:rFonts w:ascii="Arial" w:hAnsi="Arial" w:cs="Arial"/>
          <w:color w:val="000000"/>
        </w:rPr>
        <w:t>Giannakas that</w:t>
      </w:r>
      <w:r w:rsidRPr="00525CB6">
        <w:rPr>
          <w:rFonts w:ascii="Arial" w:hAnsi="Arial" w:cs="Arial"/>
          <w:color w:val="000000"/>
        </w:rPr>
        <w:t xml:space="preserve"> he has been burdened with difficult </w:t>
      </w:r>
      <w:r w:rsidR="00D745FA" w:rsidRPr="00525CB6">
        <w:rPr>
          <w:rFonts w:ascii="Arial" w:hAnsi="Arial" w:cs="Arial"/>
          <w:color w:val="000000"/>
        </w:rPr>
        <w:t xml:space="preserve">personal </w:t>
      </w:r>
      <w:r w:rsidRPr="00525CB6">
        <w:rPr>
          <w:rFonts w:ascii="Arial" w:hAnsi="Arial" w:cs="Arial"/>
          <w:color w:val="000000"/>
        </w:rPr>
        <w:t>circumstances</w:t>
      </w:r>
      <w:r w:rsidR="00D745FA" w:rsidRPr="00525CB6">
        <w:rPr>
          <w:rFonts w:ascii="Arial" w:hAnsi="Arial" w:cs="Arial"/>
          <w:color w:val="000000"/>
        </w:rPr>
        <w:t xml:space="preserve"> and this Inquiry Board is prepared to accept that he has suffered financial difficulties arising from significant and unexpected bad debts.</w:t>
      </w:r>
    </w:p>
    <w:p w:rsidR="007A7992" w:rsidRPr="00525CB6" w:rsidRDefault="007A7992" w:rsidP="00F141D4">
      <w:pPr>
        <w:pStyle w:val="ListParagraph"/>
        <w:numPr>
          <w:ilvl w:val="0"/>
          <w:numId w:val="27"/>
        </w:numPr>
        <w:spacing w:after="200"/>
        <w:ind w:left="567"/>
        <w:jc w:val="both"/>
        <w:rPr>
          <w:rFonts w:ascii="Arial" w:eastAsiaTheme="minorHAnsi" w:hAnsi="Arial" w:cs="Arial"/>
        </w:rPr>
      </w:pPr>
      <w:r w:rsidRPr="00525CB6">
        <w:rPr>
          <w:rFonts w:ascii="Arial" w:eastAsiaTheme="minorHAnsi" w:hAnsi="Arial" w:cs="Arial"/>
        </w:rPr>
        <w:t>Mr Giannakas cooperated with the Director of Building Control in the negotiation and preparation of Exhibit One and entered a plea of guilty without requiring further evidence to be put before this Inquiry Board.</w:t>
      </w:r>
    </w:p>
    <w:p w:rsidR="007A7992" w:rsidRPr="00525CB6" w:rsidRDefault="007A7992" w:rsidP="00F141D4">
      <w:pPr>
        <w:pStyle w:val="ListParagraph"/>
        <w:numPr>
          <w:ilvl w:val="0"/>
          <w:numId w:val="27"/>
        </w:numPr>
        <w:spacing w:after="200"/>
        <w:ind w:left="567"/>
        <w:jc w:val="both"/>
        <w:rPr>
          <w:rFonts w:ascii="Arial" w:eastAsiaTheme="minorHAnsi" w:hAnsi="Arial" w:cs="Arial"/>
        </w:rPr>
      </w:pPr>
      <w:r w:rsidRPr="00525CB6">
        <w:rPr>
          <w:rFonts w:ascii="Arial" w:eastAsiaTheme="minorHAnsi" w:hAnsi="Arial" w:cs="Arial"/>
        </w:rPr>
        <w:t>This Inquiry Board is satisfied that it is appropriate in these circumstances to</w:t>
      </w:r>
      <w:r w:rsidR="00D745FA" w:rsidRPr="00525CB6">
        <w:rPr>
          <w:rFonts w:ascii="Arial" w:eastAsiaTheme="minorHAnsi" w:hAnsi="Arial" w:cs="Arial"/>
        </w:rPr>
        <w:t>,</w:t>
      </w:r>
      <w:r w:rsidRPr="00525CB6">
        <w:rPr>
          <w:rFonts w:ascii="Arial" w:eastAsiaTheme="minorHAnsi" w:hAnsi="Arial" w:cs="Arial"/>
        </w:rPr>
        <w:t xml:space="preserve"> and does treat Mr Giannakas</w:t>
      </w:r>
      <w:r w:rsidR="00D745FA" w:rsidRPr="00525CB6">
        <w:rPr>
          <w:rFonts w:ascii="Arial" w:eastAsiaTheme="minorHAnsi" w:hAnsi="Arial" w:cs="Arial"/>
        </w:rPr>
        <w:t>,</w:t>
      </w:r>
      <w:r w:rsidRPr="00525CB6">
        <w:rPr>
          <w:rFonts w:ascii="Arial" w:eastAsiaTheme="minorHAnsi" w:hAnsi="Arial" w:cs="Arial"/>
        </w:rPr>
        <w:t xml:space="preserve"> as having entered an early guilty plea and takes that into account. In other circumstances this Inquiry Board may well have imposed a far greater fine and period of suspension than that which it has decided to impose.</w:t>
      </w:r>
    </w:p>
    <w:p w:rsidR="007A7992" w:rsidRPr="00525CB6" w:rsidRDefault="007A7992" w:rsidP="00F141D4">
      <w:pPr>
        <w:pStyle w:val="ListParagraph"/>
        <w:numPr>
          <w:ilvl w:val="0"/>
          <w:numId w:val="27"/>
        </w:numPr>
        <w:spacing w:after="200"/>
        <w:ind w:left="567" w:hanging="436"/>
        <w:jc w:val="both"/>
        <w:rPr>
          <w:rFonts w:ascii="Arial" w:eastAsiaTheme="minorHAnsi" w:hAnsi="Arial" w:cs="Arial"/>
        </w:rPr>
      </w:pPr>
      <w:r w:rsidRPr="00525CB6">
        <w:rPr>
          <w:rFonts w:ascii="Arial" w:eastAsiaTheme="minorHAnsi" w:hAnsi="Arial" w:cs="Arial"/>
        </w:rPr>
        <w:t xml:space="preserve">Prior to entering formal decisions on the 14 March 2018 this Inquiry </w:t>
      </w:r>
      <w:r w:rsidR="007630BA" w:rsidRPr="00525CB6">
        <w:rPr>
          <w:rFonts w:ascii="Arial" w:eastAsiaTheme="minorHAnsi" w:hAnsi="Arial" w:cs="Arial"/>
        </w:rPr>
        <w:t xml:space="preserve">Board </w:t>
      </w:r>
      <w:r w:rsidRPr="00525CB6">
        <w:rPr>
          <w:rFonts w:ascii="Arial" w:eastAsiaTheme="minorHAnsi" w:hAnsi="Arial" w:cs="Arial"/>
        </w:rPr>
        <w:t>sought and received confirmation from the parties that</w:t>
      </w:r>
      <w:r w:rsidR="007630BA" w:rsidRPr="00525CB6">
        <w:rPr>
          <w:rFonts w:ascii="Arial" w:eastAsiaTheme="minorHAnsi" w:hAnsi="Arial" w:cs="Arial"/>
        </w:rPr>
        <w:t xml:space="preserve"> they consented to the timeframes inherent in the D</w:t>
      </w:r>
      <w:r w:rsidR="00035A4B" w:rsidRPr="00525CB6">
        <w:rPr>
          <w:rFonts w:ascii="Arial" w:eastAsiaTheme="minorHAnsi" w:hAnsi="Arial" w:cs="Arial"/>
        </w:rPr>
        <w:t>ecisions</w:t>
      </w:r>
      <w:r w:rsidRPr="00525CB6">
        <w:rPr>
          <w:rFonts w:ascii="Arial" w:eastAsiaTheme="minorHAnsi" w:hAnsi="Arial" w:cs="Arial"/>
        </w:rPr>
        <w:t xml:space="preserve"> </w:t>
      </w:r>
      <w:r w:rsidR="007630BA" w:rsidRPr="00525CB6">
        <w:rPr>
          <w:rFonts w:ascii="Arial" w:eastAsiaTheme="minorHAnsi" w:hAnsi="Arial" w:cs="Arial"/>
        </w:rPr>
        <w:t xml:space="preserve">set out in paragraphs </w:t>
      </w:r>
      <w:r w:rsidR="00035A4B" w:rsidRPr="00525CB6">
        <w:rPr>
          <w:rFonts w:ascii="Arial" w:eastAsiaTheme="minorHAnsi" w:hAnsi="Arial" w:cs="Arial"/>
        </w:rPr>
        <w:t>1 and 2</w:t>
      </w:r>
      <w:r w:rsidR="007630BA" w:rsidRPr="00525CB6">
        <w:rPr>
          <w:rFonts w:ascii="Arial" w:eastAsiaTheme="minorHAnsi" w:hAnsi="Arial" w:cs="Arial"/>
        </w:rPr>
        <w:t xml:space="preserve"> bel</w:t>
      </w:r>
      <w:r w:rsidR="00035A4B" w:rsidRPr="00525CB6">
        <w:rPr>
          <w:rFonts w:ascii="Arial" w:eastAsiaTheme="minorHAnsi" w:hAnsi="Arial" w:cs="Arial"/>
        </w:rPr>
        <w:t>ow.</w:t>
      </w:r>
    </w:p>
    <w:p w:rsidR="007630BA" w:rsidRPr="00525CB6" w:rsidRDefault="007630BA" w:rsidP="00F141D4">
      <w:pPr>
        <w:pStyle w:val="ListParagraph"/>
        <w:numPr>
          <w:ilvl w:val="0"/>
          <w:numId w:val="27"/>
        </w:numPr>
        <w:spacing w:after="200"/>
        <w:ind w:left="567" w:hanging="436"/>
        <w:jc w:val="both"/>
        <w:rPr>
          <w:rFonts w:ascii="Arial" w:eastAsiaTheme="minorHAnsi" w:hAnsi="Arial" w:cs="Arial"/>
        </w:rPr>
      </w:pPr>
      <w:r w:rsidRPr="00525CB6">
        <w:rPr>
          <w:rFonts w:ascii="Arial" w:eastAsiaTheme="minorHAnsi" w:hAnsi="Arial" w:cs="Arial"/>
        </w:rPr>
        <w:t xml:space="preserve">Immediately prior to the conclusion of the hearing this Inquiry Board sought and obtained from Mr Giannakas the undertaking referred to in paragraph </w:t>
      </w:r>
      <w:r w:rsidR="00035A4B" w:rsidRPr="00525CB6">
        <w:rPr>
          <w:rFonts w:ascii="Arial" w:eastAsiaTheme="minorHAnsi" w:hAnsi="Arial" w:cs="Arial"/>
        </w:rPr>
        <w:t>5 below.</w:t>
      </w:r>
    </w:p>
    <w:p w:rsidR="00803403" w:rsidRPr="00F141D4" w:rsidRDefault="00803403" w:rsidP="00F141D4">
      <w:pPr>
        <w:pStyle w:val="Heading2"/>
        <w:spacing w:before="480" w:line="360" w:lineRule="auto"/>
        <w:rPr>
          <w:rFonts w:cs="Arial"/>
        </w:rPr>
      </w:pPr>
      <w:r w:rsidRPr="00F141D4">
        <w:rPr>
          <w:rFonts w:cs="Arial"/>
        </w:rPr>
        <w:t>Decision</w:t>
      </w:r>
    </w:p>
    <w:p w:rsidR="00525CB6" w:rsidRDefault="00035A4B" w:rsidP="00F141D4">
      <w:pPr>
        <w:numPr>
          <w:ilvl w:val="0"/>
          <w:numId w:val="27"/>
        </w:numPr>
        <w:ind w:left="567" w:right="-74" w:hanging="436"/>
        <w:jc w:val="both"/>
        <w:rPr>
          <w:rFonts w:ascii="Arial" w:hAnsi="Arial" w:cs="Arial"/>
          <w:i/>
        </w:rPr>
      </w:pPr>
      <w:r w:rsidRPr="00525CB6">
        <w:rPr>
          <w:rFonts w:ascii="Arial" w:hAnsi="Arial" w:cs="Arial"/>
        </w:rPr>
        <w:t>That Mr Constantine Giannakas produce the relevant records and documents required to be produced by the Notice to Produce Documents-Audit served on him on 27</w:t>
      </w:r>
      <w:r w:rsidRPr="00525CB6">
        <w:rPr>
          <w:rFonts w:ascii="Arial" w:hAnsi="Arial" w:cs="Arial"/>
          <w:vertAlign w:val="superscript"/>
        </w:rPr>
        <w:t>th</w:t>
      </w:r>
      <w:r w:rsidRPr="00525CB6">
        <w:rPr>
          <w:rFonts w:ascii="Arial" w:hAnsi="Arial" w:cs="Arial"/>
        </w:rPr>
        <w:t xml:space="preserve"> April 2017 pursuant to ss 34A &amp; 34D(1) of the Act on or before the 11 April 2018 to the Auditor for the Director of Building Control. Section 34 T</w:t>
      </w:r>
      <w:r w:rsidRPr="00525CB6">
        <w:rPr>
          <w:rFonts w:ascii="Arial" w:hAnsi="Arial" w:cs="Arial"/>
          <w:i/>
        </w:rPr>
        <w:t xml:space="preserve"> </w:t>
      </w:r>
      <w:r w:rsidRPr="00525CB6">
        <w:rPr>
          <w:rFonts w:ascii="Arial" w:hAnsi="Arial" w:cs="Arial"/>
        </w:rPr>
        <w:t>(c) and 34 U of the</w:t>
      </w:r>
      <w:r w:rsidRPr="00525CB6">
        <w:rPr>
          <w:rFonts w:ascii="Arial" w:hAnsi="Arial" w:cs="Arial"/>
          <w:i/>
        </w:rPr>
        <w:t xml:space="preserve"> Building Act.</w:t>
      </w:r>
    </w:p>
    <w:p w:rsidR="00525CB6" w:rsidRDefault="00525CB6" w:rsidP="00F141D4">
      <w:pPr>
        <w:ind w:left="567" w:right="-74" w:hanging="436"/>
        <w:jc w:val="both"/>
        <w:rPr>
          <w:rFonts w:ascii="Arial" w:hAnsi="Arial" w:cs="Arial"/>
          <w:i/>
        </w:rPr>
      </w:pPr>
    </w:p>
    <w:p w:rsidR="00525CB6" w:rsidRPr="00525CB6" w:rsidRDefault="00035A4B" w:rsidP="00F141D4">
      <w:pPr>
        <w:numPr>
          <w:ilvl w:val="0"/>
          <w:numId w:val="27"/>
        </w:numPr>
        <w:ind w:left="567" w:right="-74" w:hanging="436"/>
        <w:jc w:val="both"/>
        <w:rPr>
          <w:rFonts w:ascii="Arial" w:hAnsi="Arial" w:cs="Arial"/>
          <w:i/>
        </w:rPr>
      </w:pPr>
      <w:r w:rsidRPr="00525CB6">
        <w:rPr>
          <w:rFonts w:ascii="Arial" w:hAnsi="Arial" w:cs="Arial"/>
        </w:rPr>
        <w:lastRenderedPageBreak/>
        <w:t>That the Auditor for the Director of Building Control perform the audit on or before the 11 May 2018.</w:t>
      </w:r>
    </w:p>
    <w:p w:rsidR="00525CB6" w:rsidRDefault="00525CB6" w:rsidP="00F141D4">
      <w:pPr>
        <w:ind w:left="567" w:right="-74" w:hanging="436"/>
        <w:jc w:val="both"/>
        <w:rPr>
          <w:rFonts w:ascii="Arial" w:hAnsi="Arial" w:cs="Arial"/>
          <w:i/>
        </w:rPr>
      </w:pPr>
    </w:p>
    <w:p w:rsidR="00525CB6" w:rsidRDefault="00035A4B" w:rsidP="00F141D4">
      <w:pPr>
        <w:numPr>
          <w:ilvl w:val="0"/>
          <w:numId w:val="27"/>
        </w:numPr>
        <w:ind w:left="567" w:right="-74" w:hanging="436"/>
        <w:jc w:val="both"/>
        <w:rPr>
          <w:rFonts w:ascii="Arial" w:hAnsi="Arial" w:cs="Arial"/>
          <w:i/>
        </w:rPr>
      </w:pPr>
      <w:r w:rsidRPr="00525CB6">
        <w:rPr>
          <w:rFonts w:ascii="Arial" w:hAnsi="Arial" w:cs="Arial"/>
        </w:rPr>
        <w:t>That a penalty of 8 penalty units be paid by Mr Constantine Giannakas in instalments over 8 months, totalling in the amount of $1</w:t>
      </w:r>
      <w:r w:rsidR="00525CB6">
        <w:rPr>
          <w:rFonts w:ascii="Arial" w:hAnsi="Arial" w:cs="Arial"/>
        </w:rPr>
        <w:t>,</w:t>
      </w:r>
      <w:r w:rsidRPr="00525CB6">
        <w:rPr>
          <w:rFonts w:ascii="Arial" w:hAnsi="Arial" w:cs="Arial"/>
        </w:rPr>
        <w:t>232.00. Section 34 T (d) of the</w:t>
      </w:r>
      <w:r w:rsidRPr="00525CB6">
        <w:rPr>
          <w:rFonts w:ascii="Arial" w:hAnsi="Arial" w:cs="Arial"/>
          <w:i/>
        </w:rPr>
        <w:t xml:space="preserve"> Building Act</w:t>
      </w:r>
      <w:r w:rsidR="00525CB6">
        <w:rPr>
          <w:rFonts w:ascii="Arial" w:hAnsi="Arial" w:cs="Arial"/>
          <w:i/>
        </w:rPr>
        <w:t>.</w:t>
      </w:r>
    </w:p>
    <w:p w:rsidR="00525CB6" w:rsidRDefault="00525CB6" w:rsidP="00F141D4">
      <w:pPr>
        <w:pStyle w:val="ListParagraph"/>
        <w:ind w:left="567"/>
        <w:jc w:val="both"/>
        <w:rPr>
          <w:rFonts w:ascii="Arial" w:hAnsi="Arial" w:cs="Arial"/>
        </w:rPr>
      </w:pPr>
    </w:p>
    <w:p w:rsidR="00525CB6" w:rsidRDefault="00035A4B" w:rsidP="00F141D4">
      <w:pPr>
        <w:numPr>
          <w:ilvl w:val="0"/>
          <w:numId w:val="27"/>
        </w:numPr>
        <w:ind w:left="567" w:right="-74" w:hanging="436"/>
        <w:jc w:val="both"/>
        <w:rPr>
          <w:rFonts w:ascii="Arial" w:hAnsi="Arial" w:cs="Arial"/>
          <w:i/>
        </w:rPr>
      </w:pPr>
      <w:r w:rsidRPr="00525CB6">
        <w:rPr>
          <w:rFonts w:ascii="Arial" w:hAnsi="Arial" w:cs="Arial"/>
        </w:rPr>
        <w:t>That registration of Mr Constantine Giannakas as a Building Practitioner be suspended from 14 March 2018 to 12 May 2018. Section 34T(e)</w:t>
      </w:r>
      <w:r w:rsidR="00B93433" w:rsidRPr="00525CB6">
        <w:rPr>
          <w:rFonts w:ascii="Arial" w:hAnsi="Arial" w:cs="Arial"/>
        </w:rPr>
        <w:t xml:space="preserve"> of the Building Act.</w:t>
      </w:r>
    </w:p>
    <w:p w:rsidR="00525CB6" w:rsidRDefault="00525CB6" w:rsidP="00F141D4">
      <w:pPr>
        <w:pStyle w:val="ListParagraph"/>
        <w:ind w:left="567"/>
        <w:jc w:val="both"/>
        <w:rPr>
          <w:rFonts w:ascii="Arial" w:hAnsi="Arial" w:cs="Arial"/>
        </w:rPr>
      </w:pPr>
    </w:p>
    <w:p w:rsidR="00013654" w:rsidRPr="00525CB6" w:rsidRDefault="00013654" w:rsidP="00F141D4">
      <w:pPr>
        <w:numPr>
          <w:ilvl w:val="0"/>
          <w:numId w:val="27"/>
        </w:numPr>
        <w:ind w:left="567" w:right="-74" w:hanging="436"/>
        <w:jc w:val="both"/>
        <w:rPr>
          <w:rFonts w:ascii="Arial" w:hAnsi="Arial" w:cs="Arial"/>
          <w:i/>
        </w:rPr>
      </w:pPr>
      <w:r w:rsidRPr="00525CB6">
        <w:rPr>
          <w:rFonts w:ascii="Arial" w:hAnsi="Arial" w:cs="Arial"/>
        </w:rPr>
        <w:t>That Mr Constantine Giannakas give forthwith to this Inquiry Board an undertaking to comply with the decision set out in paragraph 1 above. Section 34T(c) of the Building Act.</w:t>
      </w:r>
    </w:p>
    <w:p w:rsidR="00013654" w:rsidRDefault="00013654" w:rsidP="00F141D4">
      <w:pPr>
        <w:ind w:left="66" w:right="-74"/>
        <w:jc w:val="both"/>
        <w:rPr>
          <w:rFonts w:ascii="Arial" w:hAnsi="Arial" w:cs="Arial"/>
        </w:rPr>
      </w:pPr>
    </w:p>
    <w:p w:rsidR="00525CB6" w:rsidRDefault="00B23D4F" w:rsidP="00F141D4">
      <w:pPr>
        <w:ind w:left="66" w:right="-74"/>
        <w:jc w:val="both"/>
        <w:rPr>
          <w:rFonts w:ascii="Arial" w:hAnsi="Arial" w:cs="Arial"/>
        </w:rPr>
      </w:pPr>
      <w:r>
        <w:rPr>
          <w:noProof/>
        </w:rPr>
        <w:drawing>
          <wp:anchor distT="0" distB="0" distL="114300" distR="114300" simplePos="0" relativeHeight="251659264" behindDoc="0" locked="0" layoutInCell="1" allowOverlap="1" wp14:anchorId="6DEEB0E6" wp14:editId="79055EB0">
            <wp:simplePos x="0" y="0"/>
            <wp:positionH relativeFrom="margin">
              <wp:align>left</wp:align>
            </wp:positionH>
            <wp:positionV relativeFrom="paragraph">
              <wp:posOffset>12700</wp:posOffset>
            </wp:positionV>
            <wp:extent cx="1612265" cy="57975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2265" cy="5797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5CB6" w:rsidRDefault="00525CB6" w:rsidP="00F141D4">
      <w:pPr>
        <w:ind w:left="66" w:right="-74"/>
        <w:jc w:val="both"/>
        <w:rPr>
          <w:rFonts w:ascii="Arial" w:hAnsi="Arial" w:cs="Arial"/>
        </w:rPr>
      </w:pPr>
    </w:p>
    <w:p w:rsidR="00525CB6" w:rsidRDefault="00525CB6" w:rsidP="00F141D4">
      <w:pPr>
        <w:ind w:left="66" w:right="-74"/>
        <w:jc w:val="both"/>
        <w:rPr>
          <w:rFonts w:ascii="Arial" w:hAnsi="Arial" w:cs="Arial"/>
        </w:rPr>
      </w:pPr>
    </w:p>
    <w:p w:rsidR="00525CB6" w:rsidRPr="00525CB6" w:rsidRDefault="00525CB6" w:rsidP="00F141D4">
      <w:pPr>
        <w:ind w:left="66" w:right="-74"/>
        <w:jc w:val="both"/>
        <w:rPr>
          <w:rFonts w:ascii="Arial" w:hAnsi="Arial" w:cs="Arial"/>
        </w:rPr>
      </w:pPr>
    </w:p>
    <w:p w:rsidR="00B93433" w:rsidRPr="00525CB6" w:rsidRDefault="00822444" w:rsidP="00F141D4">
      <w:pPr>
        <w:spacing w:line="240" w:lineRule="atLeast"/>
        <w:jc w:val="both"/>
        <w:rPr>
          <w:rFonts w:ascii="Arial" w:hAnsi="Arial" w:cs="Arial"/>
          <w:b/>
        </w:rPr>
      </w:pPr>
      <w:r w:rsidRPr="00525CB6">
        <w:rPr>
          <w:rFonts w:ascii="Arial" w:hAnsi="Arial" w:cs="Arial"/>
          <w:b/>
        </w:rPr>
        <w:t>P</w:t>
      </w:r>
      <w:r w:rsidR="00B93433" w:rsidRPr="00525CB6">
        <w:rPr>
          <w:rFonts w:ascii="Arial" w:hAnsi="Arial" w:cs="Arial"/>
          <w:b/>
        </w:rPr>
        <w:t>atrick McIntyre</w:t>
      </w:r>
    </w:p>
    <w:p w:rsidR="008E5F56" w:rsidRDefault="00525CB6" w:rsidP="00F141D4">
      <w:pPr>
        <w:spacing w:line="240" w:lineRule="atLeast"/>
        <w:jc w:val="both"/>
        <w:rPr>
          <w:rFonts w:ascii="Arial" w:hAnsi="Arial" w:cs="Arial"/>
        </w:rPr>
      </w:pPr>
      <w:r>
        <w:rPr>
          <w:rFonts w:ascii="Arial" w:hAnsi="Arial" w:cs="Arial"/>
        </w:rPr>
        <w:t>Presiding Member</w:t>
      </w:r>
    </w:p>
    <w:p w:rsidR="008E5F56" w:rsidRPr="00525CB6" w:rsidRDefault="008E5F56" w:rsidP="00F141D4">
      <w:pPr>
        <w:spacing w:line="240" w:lineRule="atLeast"/>
        <w:ind w:left="426" w:hanging="426"/>
        <w:jc w:val="both"/>
        <w:rPr>
          <w:rFonts w:ascii="Arial" w:hAnsi="Arial" w:cs="Arial"/>
        </w:rPr>
      </w:pPr>
    </w:p>
    <w:p w:rsidR="008707D3" w:rsidRPr="00525CB6" w:rsidRDefault="0069039F" w:rsidP="00F141D4">
      <w:pPr>
        <w:spacing w:line="240" w:lineRule="atLeast"/>
        <w:ind w:left="426" w:hanging="426"/>
        <w:jc w:val="both"/>
        <w:rPr>
          <w:rFonts w:ascii="Arial" w:hAnsi="Arial" w:cs="Arial"/>
        </w:rPr>
      </w:pPr>
      <w:r>
        <w:rPr>
          <w:rFonts w:ascii="Arial" w:hAnsi="Arial" w:cs="Arial"/>
        </w:rPr>
        <w:t>11</w:t>
      </w:r>
      <w:r w:rsidR="00525CB6" w:rsidRPr="00525CB6">
        <w:rPr>
          <w:rFonts w:ascii="Arial" w:hAnsi="Arial" w:cs="Arial"/>
        </w:rPr>
        <w:t xml:space="preserve"> April 2018</w:t>
      </w:r>
    </w:p>
    <w:sectPr w:rsidR="008707D3" w:rsidRPr="00525CB6" w:rsidSect="00822444">
      <w:headerReference w:type="even" r:id="rId9"/>
      <w:headerReference w:type="default" r:id="rId10"/>
      <w:headerReference w:type="first" r:id="rId11"/>
      <w:pgSz w:w="11906" w:h="16838" w:code="9"/>
      <w:pgMar w:top="1134" w:right="1134"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7A0" w:rsidRDefault="007277A0">
      <w:r>
        <w:separator/>
      </w:r>
    </w:p>
  </w:endnote>
  <w:endnote w:type="continuationSeparator" w:id="0">
    <w:p w:rsidR="007277A0" w:rsidRDefault="0072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altName w:val="Palatino Linotype"/>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7A0" w:rsidRDefault="007277A0">
      <w:r>
        <w:separator/>
      </w:r>
    </w:p>
  </w:footnote>
  <w:footnote w:type="continuationSeparator" w:id="0">
    <w:p w:rsidR="007277A0" w:rsidRDefault="00727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25D" w:rsidRDefault="00C5025D" w:rsidP="00F2791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5025D" w:rsidRDefault="00C5025D" w:rsidP="00340E1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2932062"/>
      <w:docPartObj>
        <w:docPartGallery w:val="Page Numbers (Top of Page)"/>
        <w:docPartUnique/>
      </w:docPartObj>
    </w:sdtPr>
    <w:sdtEndPr>
      <w:rPr>
        <w:noProof/>
      </w:rPr>
    </w:sdtEndPr>
    <w:sdtContent>
      <w:p w:rsidR="00614B00" w:rsidRDefault="00614B00">
        <w:pPr>
          <w:pStyle w:val="Header"/>
          <w:jc w:val="right"/>
        </w:pPr>
        <w:r w:rsidRPr="00614B00">
          <w:rPr>
            <w:rFonts w:ascii="Arial" w:hAnsi="Arial" w:cs="Arial"/>
          </w:rPr>
          <w:fldChar w:fldCharType="begin"/>
        </w:r>
        <w:r w:rsidRPr="00614B00">
          <w:rPr>
            <w:rFonts w:ascii="Arial" w:hAnsi="Arial" w:cs="Arial"/>
          </w:rPr>
          <w:instrText xml:space="preserve"> PAGE   \* MERGEFORMAT </w:instrText>
        </w:r>
        <w:r w:rsidRPr="00614B00">
          <w:rPr>
            <w:rFonts w:ascii="Arial" w:hAnsi="Arial" w:cs="Arial"/>
          </w:rPr>
          <w:fldChar w:fldCharType="separate"/>
        </w:r>
        <w:r w:rsidR="0081741C">
          <w:rPr>
            <w:rFonts w:ascii="Arial" w:hAnsi="Arial" w:cs="Arial"/>
            <w:noProof/>
          </w:rPr>
          <w:t>2</w:t>
        </w:r>
        <w:r w:rsidRPr="00614B00">
          <w:rPr>
            <w:rFonts w:ascii="Arial" w:hAnsi="Arial" w:cs="Arial"/>
            <w:noProof/>
          </w:rPr>
          <w:fldChar w:fldCharType="end"/>
        </w:r>
      </w:p>
    </w:sdtContent>
  </w:sdt>
  <w:p w:rsidR="00C5025D" w:rsidRDefault="00C5025D" w:rsidP="00340E1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F56" w:rsidRDefault="008E5F56" w:rsidP="003B38E2">
    <w:pPr>
      <w:jc w:val="center"/>
      <w:rPr>
        <w:rFonts w:ascii="Arial" w:hAnsi="Arial"/>
        <w:b/>
        <w:sz w:val="32"/>
      </w:rPr>
    </w:pPr>
  </w:p>
  <w:p w:rsidR="003B38E2" w:rsidRDefault="0025678A" w:rsidP="00F141D4">
    <w:pPr>
      <w:spacing w:line="360" w:lineRule="auto"/>
      <w:jc w:val="center"/>
    </w:pPr>
    <w:r>
      <w:rPr>
        <w:rFonts w:ascii="Arial" w:hAnsi="Arial"/>
        <w:b/>
        <w:sz w:val="32"/>
      </w:rPr>
      <w:t>BUILDING PRACTITIONERS</w:t>
    </w:r>
    <w:r w:rsidR="00B52359">
      <w:rPr>
        <w:rFonts w:ascii="Arial" w:hAnsi="Arial"/>
        <w:b/>
        <w:sz w:val="32"/>
      </w:rPr>
      <w:t xml:space="preserve"> INQUIRY</w:t>
    </w:r>
    <w:r>
      <w:rPr>
        <w:rFonts w:ascii="Arial" w:hAnsi="Arial"/>
        <w:b/>
        <w:sz w:val="32"/>
      </w:rPr>
      <w:t xml:space="preserve">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6350"/>
    <w:multiLevelType w:val="hybridMultilevel"/>
    <w:tmpl w:val="9C2E376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92568"/>
    <w:multiLevelType w:val="hybridMultilevel"/>
    <w:tmpl w:val="32C2C904"/>
    <w:lvl w:ilvl="0" w:tplc="07467D52">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AC2B97"/>
    <w:multiLevelType w:val="hybridMultilevel"/>
    <w:tmpl w:val="DF36DC2A"/>
    <w:lvl w:ilvl="0" w:tplc="EFB47C52">
      <w:start w:val="1"/>
      <w:numFmt w:val="decimal"/>
      <w:lvlText w:val="(%1)"/>
      <w:lvlJc w:val="left"/>
      <w:pPr>
        <w:ind w:left="1460" w:hanging="360"/>
      </w:pPr>
      <w:rPr>
        <w:rFonts w:hint="default"/>
      </w:rPr>
    </w:lvl>
    <w:lvl w:ilvl="1" w:tplc="0C090019" w:tentative="1">
      <w:start w:val="1"/>
      <w:numFmt w:val="lowerLetter"/>
      <w:lvlText w:val="%2."/>
      <w:lvlJc w:val="left"/>
      <w:pPr>
        <w:ind w:left="2180" w:hanging="360"/>
      </w:pPr>
    </w:lvl>
    <w:lvl w:ilvl="2" w:tplc="0C09001B" w:tentative="1">
      <w:start w:val="1"/>
      <w:numFmt w:val="lowerRoman"/>
      <w:lvlText w:val="%3."/>
      <w:lvlJc w:val="right"/>
      <w:pPr>
        <w:ind w:left="2900" w:hanging="180"/>
      </w:pPr>
    </w:lvl>
    <w:lvl w:ilvl="3" w:tplc="0C09000F" w:tentative="1">
      <w:start w:val="1"/>
      <w:numFmt w:val="decimal"/>
      <w:lvlText w:val="%4."/>
      <w:lvlJc w:val="left"/>
      <w:pPr>
        <w:ind w:left="3620" w:hanging="360"/>
      </w:pPr>
    </w:lvl>
    <w:lvl w:ilvl="4" w:tplc="0C090019" w:tentative="1">
      <w:start w:val="1"/>
      <w:numFmt w:val="lowerLetter"/>
      <w:lvlText w:val="%5."/>
      <w:lvlJc w:val="left"/>
      <w:pPr>
        <w:ind w:left="4340" w:hanging="360"/>
      </w:pPr>
    </w:lvl>
    <w:lvl w:ilvl="5" w:tplc="0C09001B" w:tentative="1">
      <w:start w:val="1"/>
      <w:numFmt w:val="lowerRoman"/>
      <w:lvlText w:val="%6."/>
      <w:lvlJc w:val="right"/>
      <w:pPr>
        <w:ind w:left="5060" w:hanging="180"/>
      </w:pPr>
    </w:lvl>
    <w:lvl w:ilvl="6" w:tplc="0C09000F" w:tentative="1">
      <w:start w:val="1"/>
      <w:numFmt w:val="decimal"/>
      <w:lvlText w:val="%7."/>
      <w:lvlJc w:val="left"/>
      <w:pPr>
        <w:ind w:left="5780" w:hanging="360"/>
      </w:pPr>
    </w:lvl>
    <w:lvl w:ilvl="7" w:tplc="0C090019" w:tentative="1">
      <w:start w:val="1"/>
      <w:numFmt w:val="lowerLetter"/>
      <w:lvlText w:val="%8."/>
      <w:lvlJc w:val="left"/>
      <w:pPr>
        <w:ind w:left="6500" w:hanging="360"/>
      </w:pPr>
    </w:lvl>
    <w:lvl w:ilvl="8" w:tplc="0C09001B" w:tentative="1">
      <w:start w:val="1"/>
      <w:numFmt w:val="lowerRoman"/>
      <w:lvlText w:val="%9."/>
      <w:lvlJc w:val="right"/>
      <w:pPr>
        <w:ind w:left="7220" w:hanging="180"/>
      </w:pPr>
    </w:lvl>
  </w:abstractNum>
  <w:abstractNum w:abstractNumId="3" w15:restartNumberingAfterBreak="0">
    <w:nsid w:val="099F3D7E"/>
    <w:multiLevelType w:val="hybridMultilevel"/>
    <w:tmpl w:val="721064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D3259AA"/>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561465"/>
    <w:multiLevelType w:val="hybridMultilevel"/>
    <w:tmpl w:val="100E382E"/>
    <w:lvl w:ilvl="0" w:tplc="24A68008">
      <w:start w:val="2"/>
      <w:numFmt w:val="decimal"/>
      <w:lvlText w:val="%1"/>
      <w:lvlJc w:val="left"/>
      <w:pPr>
        <w:ind w:left="644" w:hanging="360"/>
      </w:pPr>
      <w:rPr>
        <w:rFonts w:hint="default"/>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16771127"/>
    <w:multiLevelType w:val="hybridMultilevel"/>
    <w:tmpl w:val="8820A5F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6806903"/>
    <w:multiLevelType w:val="hybridMultilevel"/>
    <w:tmpl w:val="9DD0A7FA"/>
    <w:lvl w:ilvl="0" w:tplc="7B48F9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1DD827DE"/>
    <w:multiLevelType w:val="hybridMultilevel"/>
    <w:tmpl w:val="E4204DFA"/>
    <w:lvl w:ilvl="0" w:tplc="E30AB08C">
      <w:start w:val="1"/>
      <w:numFmt w:val="decimal"/>
      <w:lvlText w:val="%1."/>
      <w:lvlJc w:val="left"/>
      <w:pPr>
        <w:ind w:left="152" w:hanging="360"/>
      </w:pPr>
      <w:rPr>
        <w:b w:val="0"/>
        <w:i w:val="0"/>
      </w:rPr>
    </w:lvl>
    <w:lvl w:ilvl="1" w:tplc="0C090019">
      <w:start w:val="1"/>
      <w:numFmt w:val="lowerLetter"/>
      <w:lvlText w:val="%2."/>
      <w:lvlJc w:val="left"/>
      <w:pPr>
        <w:ind w:left="872" w:hanging="360"/>
      </w:pPr>
    </w:lvl>
    <w:lvl w:ilvl="2" w:tplc="0C09001B">
      <w:start w:val="1"/>
      <w:numFmt w:val="lowerRoman"/>
      <w:lvlText w:val="%3."/>
      <w:lvlJc w:val="right"/>
      <w:pPr>
        <w:ind w:left="1592" w:hanging="180"/>
      </w:pPr>
    </w:lvl>
    <w:lvl w:ilvl="3" w:tplc="0C09000F">
      <w:start w:val="1"/>
      <w:numFmt w:val="decimal"/>
      <w:lvlText w:val="%4."/>
      <w:lvlJc w:val="left"/>
      <w:pPr>
        <w:ind w:left="2312" w:hanging="360"/>
      </w:pPr>
    </w:lvl>
    <w:lvl w:ilvl="4" w:tplc="0C090019">
      <w:start w:val="1"/>
      <w:numFmt w:val="lowerLetter"/>
      <w:lvlText w:val="%5."/>
      <w:lvlJc w:val="left"/>
      <w:pPr>
        <w:ind w:left="3032" w:hanging="360"/>
      </w:pPr>
    </w:lvl>
    <w:lvl w:ilvl="5" w:tplc="0C09001B">
      <w:start w:val="1"/>
      <w:numFmt w:val="lowerRoman"/>
      <w:lvlText w:val="%6."/>
      <w:lvlJc w:val="right"/>
      <w:pPr>
        <w:ind w:left="3752" w:hanging="180"/>
      </w:pPr>
    </w:lvl>
    <w:lvl w:ilvl="6" w:tplc="0C09000F">
      <w:start w:val="1"/>
      <w:numFmt w:val="decimal"/>
      <w:lvlText w:val="%7."/>
      <w:lvlJc w:val="left"/>
      <w:pPr>
        <w:ind w:left="4472" w:hanging="360"/>
      </w:pPr>
    </w:lvl>
    <w:lvl w:ilvl="7" w:tplc="0C090019">
      <w:start w:val="1"/>
      <w:numFmt w:val="lowerLetter"/>
      <w:lvlText w:val="%8."/>
      <w:lvlJc w:val="left"/>
      <w:pPr>
        <w:ind w:left="5192" w:hanging="360"/>
      </w:pPr>
    </w:lvl>
    <w:lvl w:ilvl="8" w:tplc="0C09001B">
      <w:start w:val="1"/>
      <w:numFmt w:val="lowerRoman"/>
      <w:lvlText w:val="%9."/>
      <w:lvlJc w:val="right"/>
      <w:pPr>
        <w:ind w:left="5912" w:hanging="180"/>
      </w:pPr>
    </w:lvl>
  </w:abstractNum>
  <w:abstractNum w:abstractNumId="9" w15:restartNumberingAfterBreak="0">
    <w:nsid w:val="1E5D1582"/>
    <w:multiLevelType w:val="hybridMultilevel"/>
    <w:tmpl w:val="81DA0F00"/>
    <w:lvl w:ilvl="0" w:tplc="0C09000F">
      <w:start w:val="17"/>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92E778D"/>
    <w:multiLevelType w:val="hybridMultilevel"/>
    <w:tmpl w:val="63F2AF1C"/>
    <w:lvl w:ilvl="0" w:tplc="45FE9B0C">
      <w:start w:val="1"/>
      <w:numFmt w:val="decimal"/>
      <w:lvlText w:val="%1."/>
      <w:lvlJc w:val="left"/>
      <w:pPr>
        <w:ind w:left="578" w:hanging="360"/>
      </w:pPr>
      <w:rPr>
        <w:b w:val="0"/>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1" w15:restartNumberingAfterBreak="0">
    <w:nsid w:val="2BA34989"/>
    <w:multiLevelType w:val="hybridMultilevel"/>
    <w:tmpl w:val="7C24DD4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87617F"/>
    <w:multiLevelType w:val="hybridMultilevel"/>
    <w:tmpl w:val="A4C0F212"/>
    <w:lvl w:ilvl="0" w:tplc="564E4608">
      <w:start w:val="1"/>
      <w:numFmt w:val="decimal"/>
      <w:lvlText w:val="%1."/>
      <w:lvlJc w:val="left"/>
      <w:pPr>
        <w:ind w:left="1004" w:hanging="360"/>
      </w:pPr>
      <w:rPr>
        <w:i w:val="0"/>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2DF2505B"/>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3A467B9"/>
    <w:multiLevelType w:val="hybridMultilevel"/>
    <w:tmpl w:val="D5BE7660"/>
    <w:lvl w:ilvl="0" w:tplc="3D403FC4">
      <w:start w:val="17"/>
      <w:numFmt w:val="decimal"/>
      <w:lvlText w:val="%1"/>
      <w:lvlJc w:val="left"/>
      <w:pPr>
        <w:ind w:left="915" w:hanging="360"/>
      </w:pPr>
      <w:rPr>
        <w:rFonts w:hint="default"/>
      </w:rPr>
    </w:lvl>
    <w:lvl w:ilvl="1" w:tplc="0C090019" w:tentative="1">
      <w:start w:val="1"/>
      <w:numFmt w:val="lowerLetter"/>
      <w:lvlText w:val="%2."/>
      <w:lvlJc w:val="left"/>
      <w:pPr>
        <w:ind w:left="1635" w:hanging="360"/>
      </w:pPr>
    </w:lvl>
    <w:lvl w:ilvl="2" w:tplc="0C09001B" w:tentative="1">
      <w:start w:val="1"/>
      <w:numFmt w:val="lowerRoman"/>
      <w:lvlText w:val="%3."/>
      <w:lvlJc w:val="right"/>
      <w:pPr>
        <w:ind w:left="2355" w:hanging="180"/>
      </w:pPr>
    </w:lvl>
    <w:lvl w:ilvl="3" w:tplc="0C09000F" w:tentative="1">
      <w:start w:val="1"/>
      <w:numFmt w:val="decimal"/>
      <w:lvlText w:val="%4."/>
      <w:lvlJc w:val="left"/>
      <w:pPr>
        <w:ind w:left="3075" w:hanging="360"/>
      </w:pPr>
    </w:lvl>
    <w:lvl w:ilvl="4" w:tplc="0C090019" w:tentative="1">
      <w:start w:val="1"/>
      <w:numFmt w:val="lowerLetter"/>
      <w:lvlText w:val="%5."/>
      <w:lvlJc w:val="left"/>
      <w:pPr>
        <w:ind w:left="3795" w:hanging="360"/>
      </w:pPr>
    </w:lvl>
    <w:lvl w:ilvl="5" w:tplc="0C09001B" w:tentative="1">
      <w:start w:val="1"/>
      <w:numFmt w:val="lowerRoman"/>
      <w:lvlText w:val="%6."/>
      <w:lvlJc w:val="right"/>
      <w:pPr>
        <w:ind w:left="4515" w:hanging="180"/>
      </w:pPr>
    </w:lvl>
    <w:lvl w:ilvl="6" w:tplc="0C09000F" w:tentative="1">
      <w:start w:val="1"/>
      <w:numFmt w:val="decimal"/>
      <w:lvlText w:val="%7."/>
      <w:lvlJc w:val="left"/>
      <w:pPr>
        <w:ind w:left="5235" w:hanging="360"/>
      </w:pPr>
    </w:lvl>
    <w:lvl w:ilvl="7" w:tplc="0C090019" w:tentative="1">
      <w:start w:val="1"/>
      <w:numFmt w:val="lowerLetter"/>
      <w:lvlText w:val="%8."/>
      <w:lvlJc w:val="left"/>
      <w:pPr>
        <w:ind w:left="5955" w:hanging="360"/>
      </w:pPr>
    </w:lvl>
    <w:lvl w:ilvl="8" w:tplc="0C09001B" w:tentative="1">
      <w:start w:val="1"/>
      <w:numFmt w:val="lowerRoman"/>
      <w:lvlText w:val="%9."/>
      <w:lvlJc w:val="right"/>
      <w:pPr>
        <w:ind w:left="6675" w:hanging="180"/>
      </w:pPr>
    </w:lvl>
  </w:abstractNum>
  <w:abstractNum w:abstractNumId="15" w15:restartNumberingAfterBreak="0">
    <w:nsid w:val="3B6E3924"/>
    <w:multiLevelType w:val="hybridMultilevel"/>
    <w:tmpl w:val="9B606132"/>
    <w:lvl w:ilvl="0" w:tplc="45FE9B0C">
      <w:start w:val="1"/>
      <w:numFmt w:val="decimal"/>
      <w:lvlText w:val="%1."/>
      <w:lvlJc w:val="left"/>
      <w:pPr>
        <w:ind w:left="578" w:hanging="360"/>
      </w:pPr>
      <w:rPr>
        <w:b w:val="0"/>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6" w15:restartNumberingAfterBreak="0">
    <w:nsid w:val="3BC83A9D"/>
    <w:multiLevelType w:val="hybridMultilevel"/>
    <w:tmpl w:val="2FC8701A"/>
    <w:lvl w:ilvl="0" w:tplc="2A64AC16">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E4475EE"/>
    <w:multiLevelType w:val="hybridMultilevel"/>
    <w:tmpl w:val="1BAA9F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12D1F43"/>
    <w:multiLevelType w:val="hybridMultilevel"/>
    <w:tmpl w:val="478E83FA"/>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24B019D"/>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54E72A1"/>
    <w:multiLevelType w:val="hybridMultilevel"/>
    <w:tmpl w:val="DA9E8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7FA16E2"/>
    <w:multiLevelType w:val="hybridMultilevel"/>
    <w:tmpl w:val="D8749682"/>
    <w:lvl w:ilvl="0" w:tplc="0C090011">
      <w:start w:val="4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AE50753"/>
    <w:multiLevelType w:val="hybridMultilevel"/>
    <w:tmpl w:val="17D25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810F8F"/>
    <w:multiLevelType w:val="hybridMultilevel"/>
    <w:tmpl w:val="263E8C1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F5D5D62"/>
    <w:multiLevelType w:val="hybridMultilevel"/>
    <w:tmpl w:val="1B3066C8"/>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516B42D2"/>
    <w:multiLevelType w:val="hybridMultilevel"/>
    <w:tmpl w:val="A610384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3CF0135"/>
    <w:multiLevelType w:val="hybridMultilevel"/>
    <w:tmpl w:val="FA88EF8A"/>
    <w:lvl w:ilvl="0" w:tplc="0C09000F">
      <w:start w:val="1"/>
      <w:numFmt w:val="decimal"/>
      <w:lvlText w:val="%1."/>
      <w:lvlJc w:val="left"/>
      <w:pPr>
        <w:ind w:left="1287" w:hanging="360"/>
      </w:pPr>
    </w:lvl>
    <w:lvl w:ilvl="1" w:tplc="0C090003">
      <w:start w:val="1"/>
      <w:numFmt w:val="bullet"/>
      <w:lvlText w:val="o"/>
      <w:lvlJc w:val="left"/>
      <w:pPr>
        <w:ind w:left="2007" w:hanging="360"/>
      </w:pPr>
      <w:rPr>
        <w:rFonts w:ascii="Courier New" w:hAnsi="Courier New" w:cs="Courier New" w:hint="default"/>
      </w:rPr>
    </w:lvl>
    <w:lvl w:ilvl="2" w:tplc="0C090005">
      <w:start w:val="1"/>
      <w:numFmt w:val="bullet"/>
      <w:lvlText w:val=""/>
      <w:lvlJc w:val="left"/>
      <w:pPr>
        <w:ind w:left="2727" w:hanging="360"/>
      </w:pPr>
      <w:rPr>
        <w:rFonts w:ascii="Wingdings" w:hAnsi="Wingdings" w:hint="default"/>
      </w:rPr>
    </w:lvl>
    <w:lvl w:ilvl="3" w:tplc="0C090001">
      <w:start w:val="1"/>
      <w:numFmt w:val="bullet"/>
      <w:lvlText w:val=""/>
      <w:lvlJc w:val="left"/>
      <w:pPr>
        <w:ind w:left="3447" w:hanging="360"/>
      </w:pPr>
      <w:rPr>
        <w:rFonts w:ascii="Symbol" w:hAnsi="Symbol" w:hint="default"/>
      </w:rPr>
    </w:lvl>
    <w:lvl w:ilvl="4" w:tplc="0C090003">
      <w:start w:val="1"/>
      <w:numFmt w:val="bullet"/>
      <w:lvlText w:val="o"/>
      <w:lvlJc w:val="left"/>
      <w:pPr>
        <w:ind w:left="4167" w:hanging="360"/>
      </w:pPr>
      <w:rPr>
        <w:rFonts w:ascii="Courier New" w:hAnsi="Courier New" w:cs="Courier New" w:hint="default"/>
      </w:rPr>
    </w:lvl>
    <w:lvl w:ilvl="5" w:tplc="0C090005">
      <w:start w:val="1"/>
      <w:numFmt w:val="bullet"/>
      <w:lvlText w:val=""/>
      <w:lvlJc w:val="left"/>
      <w:pPr>
        <w:ind w:left="4887" w:hanging="360"/>
      </w:pPr>
      <w:rPr>
        <w:rFonts w:ascii="Wingdings" w:hAnsi="Wingdings" w:hint="default"/>
      </w:rPr>
    </w:lvl>
    <w:lvl w:ilvl="6" w:tplc="0C090001">
      <w:start w:val="1"/>
      <w:numFmt w:val="bullet"/>
      <w:lvlText w:val=""/>
      <w:lvlJc w:val="left"/>
      <w:pPr>
        <w:ind w:left="5607" w:hanging="360"/>
      </w:pPr>
      <w:rPr>
        <w:rFonts w:ascii="Symbol" w:hAnsi="Symbol" w:hint="default"/>
      </w:rPr>
    </w:lvl>
    <w:lvl w:ilvl="7" w:tplc="0C090003">
      <w:start w:val="1"/>
      <w:numFmt w:val="bullet"/>
      <w:lvlText w:val="o"/>
      <w:lvlJc w:val="left"/>
      <w:pPr>
        <w:ind w:left="6327" w:hanging="360"/>
      </w:pPr>
      <w:rPr>
        <w:rFonts w:ascii="Courier New" w:hAnsi="Courier New" w:cs="Courier New" w:hint="default"/>
      </w:rPr>
    </w:lvl>
    <w:lvl w:ilvl="8" w:tplc="0C090005">
      <w:start w:val="1"/>
      <w:numFmt w:val="bullet"/>
      <w:lvlText w:val=""/>
      <w:lvlJc w:val="left"/>
      <w:pPr>
        <w:ind w:left="7047" w:hanging="360"/>
      </w:pPr>
      <w:rPr>
        <w:rFonts w:ascii="Wingdings" w:hAnsi="Wingdings" w:hint="default"/>
      </w:rPr>
    </w:lvl>
  </w:abstractNum>
  <w:abstractNum w:abstractNumId="27" w15:restartNumberingAfterBreak="0">
    <w:nsid w:val="61FF3DD0"/>
    <w:multiLevelType w:val="hybridMultilevel"/>
    <w:tmpl w:val="0C043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0F2432"/>
    <w:multiLevelType w:val="hybridMultilevel"/>
    <w:tmpl w:val="733C5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DF64946"/>
    <w:multiLevelType w:val="hybridMultilevel"/>
    <w:tmpl w:val="284C514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FCA62AE"/>
    <w:multiLevelType w:val="hybridMultilevel"/>
    <w:tmpl w:val="D38EA67A"/>
    <w:lvl w:ilvl="0" w:tplc="0C09000F">
      <w:start w:val="1"/>
      <w:numFmt w:val="decimal"/>
      <w:lvlText w:val="%1."/>
      <w:lvlJc w:val="left"/>
      <w:pPr>
        <w:ind w:left="1205" w:hanging="360"/>
      </w:pPr>
    </w:lvl>
    <w:lvl w:ilvl="1" w:tplc="0C090019" w:tentative="1">
      <w:start w:val="1"/>
      <w:numFmt w:val="lowerLetter"/>
      <w:lvlText w:val="%2."/>
      <w:lvlJc w:val="left"/>
      <w:pPr>
        <w:ind w:left="1925" w:hanging="360"/>
      </w:pPr>
    </w:lvl>
    <w:lvl w:ilvl="2" w:tplc="0C09001B" w:tentative="1">
      <w:start w:val="1"/>
      <w:numFmt w:val="lowerRoman"/>
      <w:lvlText w:val="%3."/>
      <w:lvlJc w:val="right"/>
      <w:pPr>
        <w:ind w:left="2645" w:hanging="180"/>
      </w:pPr>
    </w:lvl>
    <w:lvl w:ilvl="3" w:tplc="0C09000F" w:tentative="1">
      <w:start w:val="1"/>
      <w:numFmt w:val="decimal"/>
      <w:lvlText w:val="%4."/>
      <w:lvlJc w:val="left"/>
      <w:pPr>
        <w:ind w:left="3365" w:hanging="360"/>
      </w:pPr>
    </w:lvl>
    <w:lvl w:ilvl="4" w:tplc="0C090019" w:tentative="1">
      <w:start w:val="1"/>
      <w:numFmt w:val="lowerLetter"/>
      <w:lvlText w:val="%5."/>
      <w:lvlJc w:val="left"/>
      <w:pPr>
        <w:ind w:left="4085" w:hanging="360"/>
      </w:pPr>
    </w:lvl>
    <w:lvl w:ilvl="5" w:tplc="0C09001B" w:tentative="1">
      <w:start w:val="1"/>
      <w:numFmt w:val="lowerRoman"/>
      <w:lvlText w:val="%6."/>
      <w:lvlJc w:val="right"/>
      <w:pPr>
        <w:ind w:left="4805" w:hanging="180"/>
      </w:pPr>
    </w:lvl>
    <w:lvl w:ilvl="6" w:tplc="0C09000F" w:tentative="1">
      <w:start w:val="1"/>
      <w:numFmt w:val="decimal"/>
      <w:lvlText w:val="%7."/>
      <w:lvlJc w:val="left"/>
      <w:pPr>
        <w:ind w:left="5525" w:hanging="360"/>
      </w:pPr>
    </w:lvl>
    <w:lvl w:ilvl="7" w:tplc="0C090019" w:tentative="1">
      <w:start w:val="1"/>
      <w:numFmt w:val="lowerLetter"/>
      <w:lvlText w:val="%8."/>
      <w:lvlJc w:val="left"/>
      <w:pPr>
        <w:ind w:left="6245" w:hanging="360"/>
      </w:pPr>
    </w:lvl>
    <w:lvl w:ilvl="8" w:tplc="0C09001B" w:tentative="1">
      <w:start w:val="1"/>
      <w:numFmt w:val="lowerRoman"/>
      <w:lvlText w:val="%9."/>
      <w:lvlJc w:val="right"/>
      <w:pPr>
        <w:ind w:left="6965" w:hanging="180"/>
      </w:pPr>
    </w:lvl>
  </w:abstractNum>
  <w:abstractNum w:abstractNumId="31" w15:restartNumberingAfterBreak="0">
    <w:nsid w:val="741219F4"/>
    <w:multiLevelType w:val="hybridMultilevel"/>
    <w:tmpl w:val="C554BB1A"/>
    <w:lvl w:ilvl="0" w:tplc="A6F0D4FE">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7504670D"/>
    <w:multiLevelType w:val="hybridMultilevel"/>
    <w:tmpl w:val="BAF4DAC8"/>
    <w:lvl w:ilvl="0" w:tplc="6568A536">
      <w:start w:val="1"/>
      <w:numFmt w:val="lowerLetter"/>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33" w15:restartNumberingAfterBreak="0">
    <w:nsid w:val="7A6D7104"/>
    <w:multiLevelType w:val="hybridMultilevel"/>
    <w:tmpl w:val="2E8AF216"/>
    <w:lvl w:ilvl="0" w:tplc="BC7A1628">
      <w:start w:val="1"/>
      <w:numFmt w:val="decimal"/>
      <w:lvlText w:val="%1."/>
      <w:lvlJc w:val="left"/>
      <w:pPr>
        <w:ind w:left="720" w:hanging="360"/>
      </w:pPr>
      <w:rPr>
        <w:rFonts w:ascii="Arial" w:eastAsia="Times New Roman" w:hAnsi="Arial" w:cs="Arial"/>
        <w:b w:val="0"/>
        <w:i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E1C4B90"/>
    <w:multiLevelType w:val="hybridMultilevel"/>
    <w:tmpl w:val="602260F4"/>
    <w:lvl w:ilvl="0" w:tplc="CE3EAE42">
      <w:start w:val="11"/>
      <w:numFmt w:val="decimal"/>
      <w:lvlText w:val="%1."/>
      <w:lvlJc w:val="left"/>
      <w:pPr>
        <w:ind w:left="720" w:hanging="360"/>
      </w:pPr>
      <w:rPr>
        <w:rFonts w:hint="default"/>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4"/>
  </w:num>
  <w:num w:numId="3">
    <w:abstractNumId w:val="9"/>
  </w:num>
  <w:num w:numId="4">
    <w:abstractNumId w:val="7"/>
  </w:num>
  <w:num w:numId="5">
    <w:abstractNumId w:val="25"/>
  </w:num>
  <w:num w:numId="6">
    <w:abstractNumId w:val="29"/>
  </w:num>
  <w:num w:numId="7">
    <w:abstractNumId w:val="22"/>
  </w:num>
  <w:num w:numId="8">
    <w:abstractNumId w:val="0"/>
  </w:num>
  <w:num w:numId="9">
    <w:abstractNumId w:val="32"/>
  </w:num>
  <w:num w:numId="10">
    <w:abstractNumId w:val="21"/>
  </w:num>
  <w:num w:numId="11">
    <w:abstractNumId w:val="2"/>
  </w:num>
  <w:num w:numId="12">
    <w:abstractNumId w:val="3"/>
  </w:num>
  <w:num w:numId="13">
    <w:abstractNumId w:val="20"/>
  </w:num>
  <w:num w:numId="14">
    <w:abstractNumId w:val="23"/>
  </w:num>
  <w:num w:numId="15">
    <w:abstractNumId w:val="1"/>
  </w:num>
  <w:num w:numId="16">
    <w:abstractNumId w:val="16"/>
  </w:num>
  <w:num w:numId="17">
    <w:abstractNumId w:val="4"/>
  </w:num>
  <w:num w:numId="18">
    <w:abstractNumId w:val="6"/>
  </w:num>
  <w:num w:numId="19">
    <w:abstractNumId w:val="24"/>
  </w:num>
  <w:num w:numId="20">
    <w:abstractNumId w:val="27"/>
  </w:num>
  <w:num w:numId="21">
    <w:abstractNumId w:val="11"/>
  </w:num>
  <w:num w:numId="22">
    <w:abstractNumId w:val="34"/>
  </w:num>
  <w:num w:numId="23">
    <w:abstractNumId w:val="33"/>
  </w:num>
  <w:num w:numId="24">
    <w:abstractNumId w:val="31"/>
  </w:num>
  <w:num w:numId="25">
    <w:abstractNumId w:val="19"/>
  </w:num>
  <w:num w:numId="26">
    <w:abstractNumId w:val="13"/>
  </w:num>
  <w:num w:numId="27">
    <w:abstractNumId w:val="8"/>
  </w:num>
  <w:num w:numId="28">
    <w:abstractNumId w:val="26"/>
    <w:lvlOverride w:ilvl="0">
      <w:startOverride w:val="1"/>
    </w:lvlOverride>
    <w:lvlOverride w:ilvl="1"/>
    <w:lvlOverride w:ilvl="2"/>
    <w:lvlOverride w:ilvl="3"/>
    <w:lvlOverride w:ilvl="4"/>
    <w:lvlOverride w:ilvl="5"/>
    <w:lvlOverride w:ilvl="6"/>
    <w:lvlOverride w:ilvl="7"/>
    <w:lvlOverride w:ilvl="8"/>
  </w:num>
  <w:num w:numId="29">
    <w:abstractNumId w:val="12"/>
  </w:num>
  <w:num w:numId="30">
    <w:abstractNumId w:val="5"/>
  </w:num>
  <w:num w:numId="31">
    <w:abstractNumId w:val="28"/>
  </w:num>
  <w:num w:numId="32">
    <w:abstractNumId w:val="8"/>
  </w:num>
  <w:num w:numId="33">
    <w:abstractNumId w:val="15"/>
  </w:num>
  <w:num w:numId="34">
    <w:abstractNumId w:val="10"/>
  </w:num>
  <w:num w:numId="35">
    <w:abstractNumId w:val="30"/>
  </w:num>
  <w:num w:numId="3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5E"/>
    <w:rsid w:val="00000D37"/>
    <w:rsid w:val="000020F8"/>
    <w:rsid w:val="000048F3"/>
    <w:rsid w:val="00013654"/>
    <w:rsid w:val="00020858"/>
    <w:rsid w:val="00035446"/>
    <w:rsid w:val="00035A4B"/>
    <w:rsid w:val="00043F15"/>
    <w:rsid w:val="00055A44"/>
    <w:rsid w:val="00060698"/>
    <w:rsid w:val="0006656F"/>
    <w:rsid w:val="00070428"/>
    <w:rsid w:val="000716C2"/>
    <w:rsid w:val="000808B9"/>
    <w:rsid w:val="00082CE5"/>
    <w:rsid w:val="00091732"/>
    <w:rsid w:val="000A65AD"/>
    <w:rsid w:val="000A71E5"/>
    <w:rsid w:val="000E1540"/>
    <w:rsid w:val="00102517"/>
    <w:rsid w:val="001106D6"/>
    <w:rsid w:val="001108EA"/>
    <w:rsid w:val="0012027A"/>
    <w:rsid w:val="00126EF4"/>
    <w:rsid w:val="0012714B"/>
    <w:rsid w:val="001304C4"/>
    <w:rsid w:val="001403F7"/>
    <w:rsid w:val="00140933"/>
    <w:rsid w:val="001444A8"/>
    <w:rsid w:val="00180CE5"/>
    <w:rsid w:val="00184F2E"/>
    <w:rsid w:val="001900DC"/>
    <w:rsid w:val="00192903"/>
    <w:rsid w:val="001B5933"/>
    <w:rsid w:val="001C03C0"/>
    <w:rsid w:val="001D6307"/>
    <w:rsid w:val="001D6966"/>
    <w:rsid w:val="001F335D"/>
    <w:rsid w:val="00203D7E"/>
    <w:rsid w:val="00204481"/>
    <w:rsid w:val="00206E6E"/>
    <w:rsid w:val="002339C1"/>
    <w:rsid w:val="00254409"/>
    <w:rsid w:val="00254D9A"/>
    <w:rsid w:val="0025678A"/>
    <w:rsid w:val="00262155"/>
    <w:rsid w:val="00277AE9"/>
    <w:rsid w:val="002A25AA"/>
    <w:rsid w:val="002B6BBF"/>
    <w:rsid w:val="002C0774"/>
    <w:rsid w:val="002C46C5"/>
    <w:rsid w:val="002C6BB7"/>
    <w:rsid w:val="002E6113"/>
    <w:rsid w:val="002F03D5"/>
    <w:rsid w:val="002F0E22"/>
    <w:rsid w:val="002F2328"/>
    <w:rsid w:val="002F720B"/>
    <w:rsid w:val="00311798"/>
    <w:rsid w:val="00313A54"/>
    <w:rsid w:val="00320DA3"/>
    <w:rsid w:val="00334303"/>
    <w:rsid w:val="00340E1B"/>
    <w:rsid w:val="00341AC5"/>
    <w:rsid w:val="003502BB"/>
    <w:rsid w:val="00352D6D"/>
    <w:rsid w:val="00355742"/>
    <w:rsid w:val="00357B7A"/>
    <w:rsid w:val="0039542A"/>
    <w:rsid w:val="003A37FE"/>
    <w:rsid w:val="003A3E83"/>
    <w:rsid w:val="003B38E2"/>
    <w:rsid w:val="003B3C8B"/>
    <w:rsid w:val="003C2416"/>
    <w:rsid w:val="003C4E27"/>
    <w:rsid w:val="003C67FB"/>
    <w:rsid w:val="003E237A"/>
    <w:rsid w:val="003E4F8E"/>
    <w:rsid w:val="003E507B"/>
    <w:rsid w:val="003F0044"/>
    <w:rsid w:val="003F35EB"/>
    <w:rsid w:val="003F7E8F"/>
    <w:rsid w:val="004028ED"/>
    <w:rsid w:val="00403E6D"/>
    <w:rsid w:val="004124E8"/>
    <w:rsid w:val="004136EF"/>
    <w:rsid w:val="00423AFA"/>
    <w:rsid w:val="0042631D"/>
    <w:rsid w:val="00440171"/>
    <w:rsid w:val="00454068"/>
    <w:rsid w:val="004717FF"/>
    <w:rsid w:val="00480975"/>
    <w:rsid w:val="004877F6"/>
    <w:rsid w:val="00487AD3"/>
    <w:rsid w:val="004B422E"/>
    <w:rsid w:val="004D373A"/>
    <w:rsid w:val="004F33F5"/>
    <w:rsid w:val="00511172"/>
    <w:rsid w:val="00517D0F"/>
    <w:rsid w:val="005223B7"/>
    <w:rsid w:val="00525CB6"/>
    <w:rsid w:val="00530C3A"/>
    <w:rsid w:val="00532A8E"/>
    <w:rsid w:val="00550AC8"/>
    <w:rsid w:val="005717A0"/>
    <w:rsid w:val="005A5E6A"/>
    <w:rsid w:val="005C38DC"/>
    <w:rsid w:val="005C403D"/>
    <w:rsid w:val="005D116B"/>
    <w:rsid w:val="005D5F2F"/>
    <w:rsid w:val="005E7890"/>
    <w:rsid w:val="005F1D75"/>
    <w:rsid w:val="005F725E"/>
    <w:rsid w:val="00612471"/>
    <w:rsid w:val="00614B00"/>
    <w:rsid w:val="00615992"/>
    <w:rsid w:val="00624E09"/>
    <w:rsid w:val="0063050D"/>
    <w:rsid w:val="00633D51"/>
    <w:rsid w:val="00634062"/>
    <w:rsid w:val="00682899"/>
    <w:rsid w:val="00682C3C"/>
    <w:rsid w:val="0069039F"/>
    <w:rsid w:val="006A7AED"/>
    <w:rsid w:val="006D06D6"/>
    <w:rsid w:val="007010AC"/>
    <w:rsid w:val="007046C6"/>
    <w:rsid w:val="00712274"/>
    <w:rsid w:val="00712415"/>
    <w:rsid w:val="00720AD8"/>
    <w:rsid w:val="007277A0"/>
    <w:rsid w:val="00735AB3"/>
    <w:rsid w:val="00741C28"/>
    <w:rsid w:val="00742D00"/>
    <w:rsid w:val="007630BA"/>
    <w:rsid w:val="007635FA"/>
    <w:rsid w:val="00763830"/>
    <w:rsid w:val="00770A84"/>
    <w:rsid w:val="00770B78"/>
    <w:rsid w:val="007910D0"/>
    <w:rsid w:val="00792389"/>
    <w:rsid w:val="00796FCF"/>
    <w:rsid w:val="007A7992"/>
    <w:rsid w:val="007B0F27"/>
    <w:rsid w:val="007D15A0"/>
    <w:rsid w:val="007E7020"/>
    <w:rsid w:val="007E7055"/>
    <w:rsid w:val="00803403"/>
    <w:rsid w:val="008132FB"/>
    <w:rsid w:val="0081741C"/>
    <w:rsid w:val="00817FA8"/>
    <w:rsid w:val="00821B56"/>
    <w:rsid w:val="00822444"/>
    <w:rsid w:val="00824D04"/>
    <w:rsid w:val="00834D3F"/>
    <w:rsid w:val="00851D26"/>
    <w:rsid w:val="008522AC"/>
    <w:rsid w:val="00861250"/>
    <w:rsid w:val="008707D3"/>
    <w:rsid w:val="008968EA"/>
    <w:rsid w:val="008D5E6F"/>
    <w:rsid w:val="008D711D"/>
    <w:rsid w:val="008E1DAA"/>
    <w:rsid w:val="008E4D7C"/>
    <w:rsid w:val="008E5F56"/>
    <w:rsid w:val="008F3193"/>
    <w:rsid w:val="00903E87"/>
    <w:rsid w:val="00917DD0"/>
    <w:rsid w:val="00933C41"/>
    <w:rsid w:val="00956916"/>
    <w:rsid w:val="00961A91"/>
    <w:rsid w:val="00974EEC"/>
    <w:rsid w:val="00990D5A"/>
    <w:rsid w:val="00992F18"/>
    <w:rsid w:val="00993B76"/>
    <w:rsid w:val="009A20E6"/>
    <w:rsid w:val="009A2184"/>
    <w:rsid w:val="009A6124"/>
    <w:rsid w:val="009B7944"/>
    <w:rsid w:val="009C2F36"/>
    <w:rsid w:val="009E2C01"/>
    <w:rsid w:val="009E7B70"/>
    <w:rsid w:val="00A07D57"/>
    <w:rsid w:val="00A10C4F"/>
    <w:rsid w:val="00A179CF"/>
    <w:rsid w:val="00A300E9"/>
    <w:rsid w:val="00A3148D"/>
    <w:rsid w:val="00A467CA"/>
    <w:rsid w:val="00A520B3"/>
    <w:rsid w:val="00A635B5"/>
    <w:rsid w:val="00A85362"/>
    <w:rsid w:val="00A86E47"/>
    <w:rsid w:val="00A94982"/>
    <w:rsid w:val="00A956C4"/>
    <w:rsid w:val="00A9611E"/>
    <w:rsid w:val="00AA05C2"/>
    <w:rsid w:val="00AA19E5"/>
    <w:rsid w:val="00AA1AD2"/>
    <w:rsid w:val="00AB4D34"/>
    <w:rsid w:val="00AC6516"/>
    <w:rsid w:val="00AD0566"/>
    <w:rsid w:val="00AD7B16"/>
    <w:rsid w:val="00AE3ED6"/>
    <w:rsid w:val="00AF4879"/>
    <w:rsid w:val="00B00073"/>
    <w:rsid w:val="00B04326"/>
    <w:rsid w:val="00B23D4F"/>
    <w:rsid w:val="00B502C4"/>
    <w:rsid w:val="00B50B06"/>
    <w:rsid w:val="00B52359"/>
    <w:rsid w:val="00B60D8B"/>
    <w:rsid w:val="00B760BD"/>
    <w:rsid w:val="00B92758"/>
    <w:rsid w:val="00B93433"/>
    <w:rsid w:val="00BC79A2"/>
    <w:rsid w:val="00BD3B4B"/>
    <w:rsid w:val="00BD67DF"/>
    <w:rsid w:val="00BE3A88"/>
    <w:rsid w:val="00C02779"/>
    <w:rsid w:val="00C158B8"/>
    <w:rsid w:val="00C300AF"/>
    <w:rsid w:val="00C325DA"/>
    <w:rsid w:val="00C32F2B"/>
    <w:rsid w:val="00C5025D"/>
    <w:rsid w:val="00C5070C"/>
    <w:rsid w:val="00C735CA"/>
    <w:rsid w:val="00C75B8D"/>
    <w:rsid w:val="00C817B3"/>
    <w:rsid w:val="00C90498"/>
    <w:rsid w:val="00C921AB"/>
    <w:rsid w:val="00C97D9D"/>
    <w:rsid w:val="00CA530C"/>
    <w:rsid w:val="00CA53CE"/>
    <w:rsid w:val="00CB1FB5"/>
    <w:rsid w:val="00CB49CF"/>
    <w:rsid w:val="00CC1E53"/>
    <w:rsid w:val="00CE6D02"/>
    <w:rsid w:val="00CF2AE7"/>
    <w:rsid w:val="00CF3964"/>
    <w:rsid w:val="00CF6AE3"/>
    <w:rsid w:val="00D01945"/>
    <w:rsid w:val="00D07B98"/>
    <w:rsid w:val="00D1617A"/>
    <w:rsid w:val="00D54C0A"/>
    <w:rsid w:val="00D745FA"/>
    <w:rsid w:val="00D76980"/>
    <w:rsid w:val="00D81BCB"/>
    <w:rsid w:val="00DA06D1"/>
    <w:rsid w:val="00DA37E9"/>
    <w:rsid w:val="00DB64C1"/>
    <w:rsid w:val="00DB77E4"/>
    <w:rsid w:val="00DC6365"/>
    <w:rsid w:val="00DE0C6D"/>
    <w:rsid w:val="00E0130B"/>
    <w:rsid w:val="00E023C4"/>
    <w:rsid w:val="00E05510"/>
    <w:rsid w:val="00E05D93"/>
    <w:rsid w:val="00E30D0A"/>
    <w:rsid w:val="00E64F46"/>
    <w:rsid w:val="00E70BF8"/>
    <w:rsid w:val="00E735FB"/>
    <w:rsid w:val="00E95BC9"/>
    <w:rsid w:val="00EA2275"/>
    <w:rsid w:val="00EA606F"/>
    <w:rsid w:val="00EA65EF"/>
    <w:rsid w:val="00EB0E4C"/>
    <w:rsid w:val="00ED6AC5"/>
    <w:rsid w:val="00EF3278"/>
    <w:rsid w:val="00EF515B"/>
    <w:rsid w:val="00EF7574"/>
    <w:rsid w:val="00F0254E"/>
    <w:rsid w:val="00F06E17"/>
    <w:rsid w:val="00F11069"/>
    <w:rsid w:val="00F141D4"/>
    <w:rsid w:val="00F27918"/>
    <w:rsid w:val="00F74D1D"/>
    <w:rsid w:val="00F914E2"/>
    <w:rsid w:val="00F94AEF"/>
    <w:rsid w:val="00F94C5D"/>
    <w:rsid w:val="00FA095C"/>
    <w:rsid w:val="00FA3B90"/>
    <w:rsid w:val="00FB7BF2"/>
    <w:rsid w:val="00FC22BE"/>
    <w:rsid w:val="00FC33D6"/>
    <w:rsid w:val="00FD1314"/>
    <w:rsid w:val="00FD5796"/>
    <w:rsid w:val="00FD59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8B8AFC1-4733-4601-9AC0-85A00DEEC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unhideWhenUsed/>
    <w:qFormat/>
    <w:rsid w:val="003B38E2"/>
    <w:pPr>
      <w:keepNext/>
      <w:spacing w:before="360" w:after="120"/>
      <w:jc w:val="both"/>
      <w:outlineLvl w:val="1"/>
    </w:pPr>
    <w:rPr>
      <w:rFonts w:ascii="Arial" w:hAnsi="Arial"/>
      <w:b/>
      <w:bCs/>
      <w:iCs/>
      <w:sz w:val="28"/>
      <w:szCs w:val="28"/>
    </w:rPr>
  </w:style>
  <w:style w:type="paragraph" w:styleId="Heading3">
    <w:name w:val="heading 3"/>
    <w:basedOn w:val="Normal"/>
    <w:next w:val="Normal"/>
    <w:link w:val="Heading3Char"/>
    <w:unhideWhenUsed/>
    <w:qFormat/>
    <w:rsid w:val="00CA53CE"/>
    <w:pPr>
      <w:keepNext/>
      <w:spacing w:before="360" w:after="120"/>
      <w:jc w:val="both"/>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808B9"/>
    <w:pPr>
      <w:tabs>
        <w:tab w:val="right" w:pos="9105"/>
      </w:tabs>
      <w:overflowPunct w:val="0"/>
      <w:autoSpaceDE w:val="0"/>
      <w:autoSpaceDN w:val="0"/>
      <w:adjustRightInd w:val="0"/>
      <w:jc w:val="center"/>
    </w:pPr>
    <w:rPr>
      <w:rFonts w:ascii="Arial" w:eastAsia="Calibri" w:hAnsi="Arial"/>
      <w:b/>
      <w:u w:val="single"/>
      <w:lang w:val="en-GB" w:eastAsia="x-none"/>
    </w:rPr>
  </w:style>
  <w:style w:type="character" w:customStyle="1" w:styleId="TitleChar">
    <w:name w:val="Title Char"/>
    <w:link w:val="Title"/>
    <w:locked/>
    <w:rsid w:val="000808B9"/>
    <w:rPr>
      <w:rFonts w:ascii="Arial" w:eastAsia="Calibri" w:hAnsi="Arial"/>
      <w:b/>
      <w:sz w:val="24"/>
      <w:szCs w:val="24"/>
      <w:u w:val="single"/>
      <w:lang w:val="en-GB" w:eastAsia="x-none" w:bidi="ar-SA"/>
    </w:rPr>
  </w:style>
  <w:style w:type="paragraph" w:styleId="Header">
    <w:name w:val="header"/>
    <w:basedOn w:val="Normal"/>
    <w:link w:val="HeaderChar"/>
    <w:uiPriority w:val="99"/>
    <w:rsid w:val="00340E1B"/>
    <w:pPr>
      <w:tabs>
        <w:tab w:val="center" w:pos="4153"/>
        <w:tab w:val="right" w:pos="8306"/>
      </w:tabs>
    </w:pPr>
  </w:style>
  <w:style w:type="character" w:styleId="PageNumber">
    <w:name w:val="page number"/>
    <w:basedOn w:val="DefaultParagraphFont"/>
    <w:rsid w:val="00340E1B"/>
  </w:style>
  <w:style w:type="paragraph" w:styleId="BalloonText">
    <w:name w:val="Balloon Text"/>
    <w:basedOn w:val="Normal"/>
    <w:semiHidden/>
    <w:rsid w:val="00C02779"/>
    <w:rPr>
      <w:rFonts w:ascii="Tahoma" w:hAnsi="Tahoma" w:cs="Tahoma"/>
      <w:sz w:val="16"/>
      <w:szCs w:val="16"/>
    </w:rPr>
  </w:style>
  <w:style w:type="paragraph" w:styleId="ListParagraph">
    <w:name w:val="List Paragraph"/>
    <w:basedOn w:val="Normal"/>
    <w:uiPriority w:val="34"/>
    <w:qFormat/>
    <w:rsid w:val="004D373A"/>
    <w:pPr>
      <w:ind w:left="720"/>
    </w:pPr>
  </w:style>
  <w:style w:type="paragraph" w:styleId="Footer">
    <w:name w:val="footer"/>
    <w:basedOn w:val="Normal"/>
    <w:link w:val="FooterChar"/>
    <w:rsid w:val="00AB4D34"/>
    <w:pPr>
      <w:tabs>
        <w:tab w:val="center" w:pos="4513"/>
        <w:tab w:val="right" w:pos="9026"/>
      </w:tabs>
    </w:pPr>
  </w:style>
  <w:style w:type="character" w:customStyle="1" w:styleId="FooterChar">
    <w:name w:val="Footer Char"/>
    <w:link w:val="Footer"/>
    <w:rsid w:val="00AB4D34"/>
    <w:rPr>
      <w:sz w:val="24"/>
      <w:szCs w:val="24"/>
    </w:rPr>
  </w:style>
  <w:style w:type="paragraph" w:styleId="FootnoteText">
    <w:name w:val="footnote text"/>
    <w:basedOn w:val="Normal"/>
    <w:link w:val="FootnoteTextChar"/>
    <w:uiPriority w:val="99"/>
    <w:rsid w:val="003502BB"/>
    <w:rPr>
      <w:sz w:val="20"/>
      <w:szCs w:val="20"/>
    </w:rPr>
  </w:style>
  <w:style w:type="character" w:customStyle="1" w:styleId="FootnoteTextChar">
    <w:name w:val="Footnote Text Char"/>
    <w:basedOn w:val="DefaultParagraphFont"/>
    <w:link w:val="FootnoteText"/>
    <w:uiPriority w:val="99"/>
    <w:rsid w:val="003502BB"/>
  </w:style>
  <w:style w:type="character" w:styleId="FootnoteReference">
    <w:name w:val="footnote reference"/>
    <w:uiPriority w:val="99"/>
    <w:rsid w:val="003502BB"/>
    <w:rPr>
      <w:vertAlign w:val="superscript"/>
    </w:rPr>
  </w:style>
  <w:style w:type="character" w:styleId="CommentReference">
    <w:name w:val="annotation reference"/>
    <w:rsid w:val="003C4E27"/>
    <w:rPr>
      <w:sz w:val="16"/>
      <w:szCs w:val="16"/>
    </w:rPr>
  </w:style>
  <w:style w:type="paragraph" w:styleId="CommentText">
    <w:name w:val="annotation text"/>
    <w:basedOn w:val="Normal"/>
    <w:link w:val="CommentTextChar"/>
    <w:rsid w:val="003C4E27"/>
    <w:rPr>
      <w:sz w:val="20"/>
      <w:szCs w:val="20"/>
    </w:rPr>
  </w:style>
  <w:style w:type="character" w:customStyle="1" w:styleId="CommentTextChar">
    <w:name w:val="Comment Text Char"/>
    <w:basedOn w:val="DefaultParagraphFont"/>
    <w:link w:val="CommentText"/>
    <w:rsid w:val="003C4E27"/>
  </w:style>
  <w:style w:type="paragraph" w:styleId="CommentSubject">
    <w:name w:val="annotation subject"/>
    <w:basedOn w:val="CommentText"/>
    <w:next w:val="CommentText"/>
    <w:link w:val="CommentSubjectChar"/>
    <w:rsid w:val="003C4E27"/>
    <w:rPr>
      <w:b/>
      <w:bCs/>
    </w:rPr>
  </w:style>
  <w:style w:type="character" w:customStyle="1" w:styleId="CommentSubjectChar">
    <w:name w:val="Comment Subject Char"/>
    <w:link w:val="CommentSubject"/>
    <w:rsid w:val="003C4E27"/>
    <w:rPr>
      <w:b/>
      <w:bCs/>
    </w:rPr>
  </w:style>
  <w:style w:type="paragraph" w:customStyle="1" w:styleId="NewSectionHeading">
    <w:name w:val="New Section Heading"/>
    <w:basedOn w:val="Normal"/>
    <w:next w:val="Normal"/>
    <w:rsid w:val="00682C3C"/>
    <w:pPr>
      <w:keepNext/>
      <w:keepLines/>
      <w:widowControl w:val="0"/>
      <w:spacing w:after="240"/>
      <w:ind w:left="1100" w:hanging="1100"/>
      <w:outlineLvl w:val="4"/>
    </w:pPr>
    <w:rPr>
      <w:rFonts w:ascii="Helvetica" w:hAnsi="Helvetica"/>
      <w:b/>
    </w:rPr>
  </w:style>
  <w:style w:type="paragraph" w:customStyle="1" w:styleId="Subsection">
    <w:name w:val="Subsection"/>
    <w:basedOn w:val="Normal"/>
    <w:link w:val="SubsectionChar"/>
    <w:rsid w:val="00682C3C"/>
    <w:pPr>
      <w:widowControl w:val="0"/>
      <w:tabs>
        <w:tab w:val="right" w:pos="902"/>
      </w:tabs>
      <w:spacing w:after="240"/>
      <w:ind w:left="1100" w:hanging="1100"/>
      <w:jc w:val="both"/>
    </w:pPr>
    <w:rPr>
      <w:rFonts w:ascii="Helvetica" w:hAnsi="Helvetica"/>
    </w:rPr>
  </w:style>
  <w:style w:type="paragraph" w:customStyle="1" w:styleId="Paragraph">
    <w:name w:val="Paragraph"/>
    <w:basedOn w:val="Normal"/>
    <w:rsid w:val="00682C3C"/>
    <w:pPr>
      <w:widowControl w:val="0"/>
      <w:spacing w:after="240"/>
      <w:ind w:left="1667" w:hanging="567"/>
      <w:jc w:val="both"/>
    </w:pPr>
    <w:rPr>
      <w:rFonts w:ascii="Helvetica" w:hAnsi="Helvetica"/>
    </w:rPr>
  </w:style>
  <w:style w:type="paragraph" w:styleId="NoSpacing">
    <w:name w:val="No Spacing"/>
    <w:uiPriority w:val="1"/>
    <w:qFormat/>
    <w:rsid w:val="00D54C0A"/>
    <w:rPr>
      <w:sz w:val="24"/>
      <w:szCs w:val="24"/>
    </w:rPr>
  </w:style>
  <w:style w:type="character" w:customStyle="1" w:styleId="Heading2Char">
    <w:name w:val="Heading 2 Char"/>
    <w:basedOn w:val="DefaultParagraphFont"/>
    <w:link w:val="Heading2"/>
    <w:rsid w:val="003B38E2"/>
    <w:rPr>
      <w:rFonts w:ascii="Arial" w:hAnsi="Arial"/>
      <w:b/>
      <w:bCs/>
      <w:iCs/>
      <w:sz w:val="28"/>
      <w:szCs w:val="28"/>
    </w:rPr>
  </w:style>
  <w:style w:type="paragraph" w:customStyle="1" w:styleId="BottomLine">
    <w:name w:val="Bottom Line"/>
    <w:basedOn w:val="Normal"/>
    <w:rsid w:val="003B38E2"/>
    <w:pPr>
      <w:pBdr>
        <w:top w:val="single" w:sz="12" w:space="1" w:color="auto"/>
      </w:pBdr>
      <w:jc w:val="both"/>
    </w:pPr>
    <w:rPr>
      <w:rFonts w:ascii="Arial" w:hAnsi="Arial"/>
      <w:szCs w:val="20"/>
    </w:rPr>
  </w:style>
  <w:style w:type="character" w:customStyle="1" w:styleId="Heading3Char">
    <w:name w:val="Heading 3 Char"/>
    <w:basedOn w:val="DefaultParagraphFont"/>
    <w:link w:val="Heading3"/>
    <w:rsid w:val="00CA53CE"/>
    <w:rPr>
      <w:rFonts w:ascii="Arial" w:hAnsi="Arial" w:cs="Arial"/>
      <w:b/>
      <w:bCs/>
      <w:sz w:val="26"/>
      <w:szCs w:val="26"/>
    </w:rPr>
  </w:style>
  <w:style w:type="table" w:styleId="TableGrid">
    <w:name w:val="Table Grid"/>
    <w:basedOn w:val="TableNormal"/>
    <w:uiPriority w:val="59"/>
    <w:rsid w:val="005F72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14B00"/>
    <w:rPr>
      <w:sz w:val="24"/>
      <w:szCs w:val="24"/>
    </w:rPr>
  </w:style>
  <w:style w:type="paragraph" w:styleId="BodyText3">
    <w:name w:val="Body Text 3"/>
    <w:basedOn w:val="Normal"/>
    <w:link w:val="BodyText3Char"/>
    <w:uiPriority w:val="99"/>
    <w:semiHidden/>
    <w:unhideWhenUsed/>
    <w:rsid w:val="0012027A"/>
    <w:pPr>
      <w:spacing w:after="120"/>
    </w:pPr>
    <w:rPr>
      <w:rFonts w:ascii="Arial" w:eastAsiaTheme="minorHAnsi" w:hAnsi="Arial" w:cs="Arial"/>
      <w:sz w:val="16"/>
      <w:szCs w:val="16"/>
    </w:rPr>
  </w:style>
  <w:style w:type="character" w:customStyle="1" w:styleId="BodyText3Char">
    <w:name w:val="Body Text 3 Char"/>
    <w:basedOn w:val="DefaultParagraphFont"/>
    <w:link w:val="BodyText3"/>
    <w:uiPriority w:val="99"/>
    <w:semiHidden/>
    <w:rsid w:val="0012027A"/>
    <w:rPr>
      <w:rFonts w:ascii="Arial" w:eastAsiaTheme="minorHAnsi" w:hAnsi="Arial" w:cs="Arial"/>
      <w:sz w:val="16"/>
      <w:szCs w:val="16"/>
    </w:rPr>
  </w:style>
  <w:style w:type="paragraph" w:styleId="PlainText">
    <w:name w:val="Plain Text"/>
    <w:basedOn w:val="Normal"/>
    <w:link w:val="PlainTextChar"/>
    <w:uiPriority w:val="99"/>
    <w:semiHidden/>
    <w:unhideWhenUsed/>
    <w:rsid w:val="0012027A"/>
    <w:rPr>
      <w:rFonts w:ascii="Calibri" w:eastAsiaTheme="minorHAnsi" w:hAnsi="Calibri" w:cs="Calibri"/>
      <w:sz w:val="22"/>
      <w:szCs w:val="22"/>
      <w:lang w:eastAsia="en-US"/>
    </w:rPr>
  </w:style>
  <w:style w:type="character" w:customStyle="1" w:styleId="PlainTextChar">
    <w:name w:val="Plain Text Char"/>
    <w:basedOn w:val="DefaultParagraphFont"/>
    <w:link w:val="PlainText"/>
    <w:uiPriority w:val="99"/>
    <w:semiHidden/>
    <w:rsid w:val="0012027A"/>
    <w:rPr>
      <w:rFonts w:ascii="Calibri" w:eastAsiaTheme="minorHAnsi" w:hAnsi="Calibri" w:cs="Calibri"/>
      <w:sz w:val="22"/>
      <w:szCs w:val="22"/>
      <w:lang w:eastAsia="en-US"/>
    </w:rPr>
  </w:style>
  <w:style w:type="character" w:customStyle="1" w:styleId="SubsectionChar">
    <w:name w:val="Subsection Char"/>
    <w:basedOn w:val="DefaultParagraphFont"/>
    <w:link w:val="Subsection"/>
    <w:locked/>
    <w:rsid w:val="0012027A"/>
    <w:rPr>
      <w:rFonts w:ascii="Helvetica" w:hAnsi="Helvetica"/>
      <w:sz w:val="24"/>
      <w:szCs w:val="24"/>
    </w:rPr>
  </w:style>
  <w:style w:type="paragraph" w:customStyle="1" w:styleId="cunumber3">
    <w:name w:val="cunumber3"/>
    <w:basedOn w:val="Normal"/>
    <w:rsid w:val="0012027A"/>
    <w:pPr>
      <w:spacing w:before="100" w:beforeAutospacing="1" w:after="100" w:afterAutospacing="1"/>
    </w:pPr>
    <w:rPr>
      <w:rFonts w:eastAsiaTheme="minorHAnsi"/>
    </w:rPr>
  </w:style>
  <w:style w:type="paragraph" w:customStyle="1" w:styleId="Default">
    <w:name w:val="Default"/>
    <w:rsid w:val="00C158B8"/>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08324">
      <w:bodyDiv w:val="1"/>
      <w:marLeft w:val="0"/>
      <w:marRight w:val="0"/>
      <w:marTop w:val="0"/>
      <w:marBottom w:val="0"/>
      <w:divBdr>
        <w:top w:val="none" w:sz="0" w:space="0" w:color="auto"/>
        <w:left w:val="none" w:sz="0" w:space="0" w:color="auto"/>
        <w:bottom w:val="none" w:sz="0" w:space="0" w:color="auto"/>
        <w:right w:val="none" w:sz="0" w:space="0" w:color="auto"/>
      </w:divBdr>
    </w:div>
    <w:div w:id="28620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1BD58-DFC6-4232-8027-48656019E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1455</Words>
  <Characters>7350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Justice</Company>
  <LinksUpToDate>false</LinksUpToDate>
  <CharactersWithSpaces>8788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TSmart</dc:creator>
  <cp:lastModifiedBy>Louise Ranger</cp:lastModifiedBy>
  <cp:revision>2</cp:revision>
  <cp:lastPrinted>2014-04-22T03:39:00Z</cp:lastPrinted>
  <dcterms:created xsi:type="dcterms:W3CDTF">2018-04-11T04:48:00Z</dcterms:created>
  <dcterms:modified xsi:type="dcterms:W3CDTF">2018-04-11T04:48:00Z</dcterms:modified>
</cp:coreProperties>
</file>